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604BA" w14:textId="2F5BA6E2" w:rsidR="00B5128E" w:rsidRPr="009218F1" w:rsidRDefault="00B5128E" w:rsidP="00B5128E">
      <w:pPr>
        <w:pStyle w:val="Title"/>
        <w:jc w:val="right"/>
        <w:rPr>
          <w:rFonts w:ascii="Calibri" w:eastAsia="Calibri" w:hAnsi="Calibri" w:cs="Calibri"/>
        </w:rPr>
      </w:pPr>
    </w:p>
    <w:p w14:paraId="58AD5BAE" w14:textId="77777777" w:rsidR="00AC41D4" w:rsidRPr="009218F1" w:rsidRDefault="3812A881" w:rsidP="009E7E21">
      <w:pPr>
        <w:pStyle w:val="Title"/>
        <w:rPr>
          <w:rFonts w:ascii="Calibri" w:hAnsi="Calibri"/>
        </w:rPr>
      </w:pPr>
      <w:r w:rsidRPr="009218F1">
        <w:rPr>
          <w:rFonts w:ascii="Calibri" w:eastAsia="Calibri" w:hAnsi="Calibri" w:cs="Calibri"/>
        </w:rPr>
        <w:t xml:space="preserve">group policies and procedures </w:t>
      </w:r>
    </w:p>
    <w:p w14:paraId="0DA310F5" w14:textId="487B1CF2" w:rsidR="00C15FAF" w:rsidRPr="009218F1" w:rsidRDefault="00FD6CDF" w:rsidP="009E7E21">
      <w:pPr>
        <w:pStyle w:val="Heading1"/>
        <w:rPr>
          <w:rFonts w:ascii="Calibri" w:hAnsi="Calibri"/>
          <w:sz w:val="36"/>
          <w:szCs w:val="36"/>
        </w:rPr>
      </w:pPr>
      <w:r w:rsidRPr="009218F1">
        <w:rPr>
          <w:rFonts w:ascii="Calibri" w:eastAsia="Calibri" w:hAnsi="Calibri" w:cs="Calibri"/>
          <w:sz w:val="36"/>
          <w:szCs w:val="36"/>
        </w:rPr>
        <w:t>death of service user</w:t>
      </w:r>
      <w:r w:rsidR="3812A881" w:rsidRPr="009218F1">
        <w:rPr>
          <w:rFonts w:ascii="Calibri" w:eastAsia="Calibri" w:hAnsi="Calibri" w:cs="Calibri"/>
          <w:sz w:val="36"/>
          <w:szCs w:val="36"/>
        </w:rPr>
        <w:t xml:space="preserve"> policy</w:t>
      </w:r>
    </w:p>
    <w:p w14:paraId="43CE4C50" w14:textId="77777777" w:rsidR="00C15FAF" w:rsidRPr="009218F1" w:rsidRDefault="00A40178" w:rsidP="009E7E21">
      <w:pPr>
        <w:rPr>
          <w:rFonts w:ascii="Calibri" w:hAnsi="Calibri"/>
        </w:rPr>
      </w:pPr>
      <w:r w:rsidRPr="009218F1">
        <w:rPr>
          <w:rFonts w:ascii="Calibri" w:hAnsi="Calibri"/>
        </w:rPr>
        <w:t xml:space="preserve"> </w:t>
      </w:r>
    </w:p>
    <w:tbl>
      <w:tblPr>
        <w:tblStyle w:val="TableGrid"/>
        <w:tblW w:w="0" w:type="auto"/>
        <w:tblLook w:val="04A0" w:firstRow="1" w:lastRow="0" w:firstColumn="1" w:lastColumn="0" w:noHBand="0" w:noVBand="1"/>
      </w:tblPr>
      <w:tblGrid>
        <w:gridCol w:w="2794"/>
        <w:gridCol w:w="6556"/>
      </w:tblGrid>
      <w:tr w:rsidR="00A40178" w:rsidRPr="009218F1" w14:paraId="4F380843" w14:textId="77777777" w:rsidTr="3812A881">
        <w:tc>
          <w:tcPr>
            <w:tcW w:w="2829" w:type="dxa"/>
            <w:shd w:val="clear" w:color="auto" w:fill="099BDD" w:themeFill="text2"/>
          </w:tcPr>
          <w:p w14:paraId="5C527393" w14:textId="77777777" w:rsidR="00A40178" w:rsidRPr="009218F1" w:rsidRDefault="3812A881" w:rsidP="009E7E21">
            <w:pPr>
              <w:pStyle w:val="Heading6"/>
              <w:spacing w:line="264" w:lineRule="auto"/>
              <w:rPr>
                <w:rFonts w:ascii="Calibri" w:hAnsi="Calibri"/>
                <w:b/>
                <w:color w:val="FFFFFF" w:themeColor="background1"/>
                <w:sz w:val="28"/>
                <w:szCs w:val="28"/>
              </w:rPr>
            </w:pPr>
            <w:r w:rsidRPr="009218F1">
              <w:rPr>
                <w:rFonts w:ascii="Calibri" w:eastAsia="Calibri" w:hAnsi="Calibri" w:cs="Calibri"/>
                <w:color w:val="FFFFFF" w:themeColor="background1"/>
                <w:sz w:val="28"/>
                <w:szCs w:val="28"/>
              </w:rPr>
              <w:t>Category</w:t>
            </w:r>
          </w:p>
        </w:tc>
        <w:tc>
          <w:tcPr>
            <w:tcW w:w="6747" w:type="dxa"/>
          </w:tcPr>
          <w:p w14:paraId="6228B86D" w14:textId="54647C46" w:rsidR="00A40178" w:rsidRPr="009218F1" w:rsidRDefault="3812A881" w:rsidP="009E7E21">
            <w:pPr>
              <w:spacing w:after="200" w:line="264" w:lineRule="auto"/>
              <w:rPr>
                <w:rFonts w:ascii="Calibri" w:hAnsi="Calibri"/>
                <w:sz w:val="28"/>
                <w:szCs w:val="28"/>
              </w:rPr>
            </w:pPr>
            <w:r w:rsidRPr="009218F1">
              <w:rPr>
                <w:rFonts w:ascii="Calibri" w:eastAsia="Calibri" w:hAnsi="Calibri" w:cs="Calibri"/>
                <w:sz w:val="28"/>
                <w:szCs w:val="28"/>
              </w:rPr>
              <w:t>Clinical</w:t>
            </w:r>
          </w:p>
        </w:tc>
      </w:tr>
      <w:tr w:rsidR="00A40178" w:rsidRPr="009218F1" w14:paraId="2DAC5305" w14:textId="77777777" w:rsidTr="3812A881">
        <w:tc>
          <w:tcPr>
            <w:tcW w:w="2829" w:type="dxa"/>
            <w:shd w:val="clear" w:color="auto" w:fill="099BDD" w:themeFill="text2"/>
          </w:tcPr>
          <w:p w14:paraId="33A1C3F0" w14:textId="77777777" w:rsidR="00A40178" w:rsidRPr="009218F1" w:rsidRDefault="3812A881" w:rsidP="009E7E21">
            <w:pPr>
              <w:pStyle w:val="Heading6"/>
              <w:spacing w:line="264" w:lineRule="auto"/>
              <w:rPr>
                <w:rFonts w:ascii="Calibri" w:hAnsi="Calibri"/>
                <w:b/>
                <w:color w:val="FFFFFF" w:themeColor="background1"/>
                <w:sz w:val="28"/>
                <w:szCs w:val="28"/>
              </w:rPr>
            </w:pPr>
            <w:r w:rsidRPr="009218F1">
              <w:rPr>
                <w:rFonts w:ascii="Calibri" w:eastAsia="Calibri" w:hAnsi="Calibri" w:cs="Calibri"/>
                <w:color w:val="FFFFFF" w:themeColor="background1"/>
                <w:sz w:val="28"/>
                <w:szCs w:val="28"/>
              </w:rPr>
              <w:t>Author</w:t>
            </w:r>
          </w:p>
        </w:tc>
        <w:tc>
          <w:tcPr>
            <w:tcW w:w="6747" w:type="dxa"/>
          </w:tcPr>
          <w:p w14:paraId="5FE6A09B" w14:textId="77777777" w:rsidR="00A40178" w:rsidRPr="009218F1" w:rsidRDefault="3812A881" w:rsidP="009E7E21">
            <w:pPr>
              <w:spacing w:after="200" w:line="264" w:lineRule="auto"/>
              <w:rPr>
                <w:rFonts w:ascii="Calibri" w:hAnsi="Calibri"/>
                <w:sz w:val="28"/>
                <w:szCs w:val="28"/>
              </w:rPr>
            </w:pPr>
            <w:r w:rsidRPr="009218F1">
              <w:rPr>
                <w:rFonts w:ascii="Calibri" w:eastAsia="Calibri" w:hAnsi="Calibri" w:cs="Calibri"/>
                <w:sz w:val="28"/>
                <w:szCs w:val="28"/>
              </w:rPr>
              <w:t>Castleman Healthcare Ltd</w:t>
            </w:r>
          </w:p>
        </w:tc>
      </w:tr>
      <w:tr w:rsidR="00A40178" w:rsidRPr="009218F1" w14:paraId="556B03E2" w14:textId="77777777" w:rsidTr="3812A881">
        <w:tc>
          <w:tcPr>
            <w:tcW w:w="2829" w:type="dxa"/>
            <w:shd w:val="clear" w:color="auto" w:fill="099BDD" w:themeFill="text2"/>
          </w:tcPr>
          <w:p w14:paraId="46F9B232" w14:textId="77777777" w:rsidR="00A40178" w:rsidRPr="009218F1" w:rsidRDefault="3812A881" w:rsidP="009E7E21">
            <w:pPr>
              <w:pStyle w:val="Heading6"/>
              <w:spacing w:line="264" w:lineRule="auto"/>
              <w:rPr>
                <w:rFonts w:ascii="Calibri" w:hAnsi="Calibri"/>
                <w:b/>
                <w:color w:val="FFFFFF" w:themeColor="background1"/>
                <w:sz w:val="28"/>
                <w:szCs w:val="28"/>
              </w:rPr>
            </w:pPr>
            <w:r w:rsidRPr="009218F1">
              <w:rPr>
                <w:rFonts w:ascii="Calibri" w:eastAsia="Calibri" w:hAnsi="Calibri" w:cs="Calibri"/>
                <w:color w:val="FFFFFF" w:themeColor="background1"/>
                <w:sz w:val="28"/>
                <w:szCs w:val="28"/>
              </w:rPr>
              <w:t>Responsible Director</w:t>
            </w:r>
          </w:p>
        </w:tc>
        <w:tc>
          <w:tcPr>
            <w:tcW w:w="6747" w:type="dxa"/>
          </w:tcPr>
          <w:p w14:paraId="7435F7A9" w14:textId="19D82FA3" w:rsidR="00A40178" w:rsidRPr="009218F1" w:rsidRDefault="0060679E" w:rsidP="009E7E21">
            <w:pPr>
              <w:spacing w:after="200" w:line="264" w:lineRule="auto"/>
              <w:rPr>
                <w:rFonts w:ascii="Calibri" w:hAnsi="Calibri"/>
                <w:sz w:val="28"/>
                <w:szCs w:val="28"/>
              </w:rPr>
            </w:pPr>
            <w:r>
              <w:rPr>
                <w:rFonts w:ascii="Calibri" w:eastAsia="Calibri" w:hAnsi="Calibri" w:cs="Calibri"/>
                <w:sz w:val="28"/>
                <w:szCs w:val="28"/>
              </w:rPr>
              <w:t xml:space="preserve">Dr </w:t>
            </w:r>
            <w:r w:rsidR="3812A881" w:rsidRPr="009218F1">
              <w:rPr>
                <w:rFonts w:ascii="Calibri" w:eastAsia="Calibri" w:hAnsi="Calibri" w:cs="Calibri"/>
                <w:sz w:val="28"/>
                <w:szCs w:val="28"/>
              </w:rPr>
              <w:t>Dominic Hennessy</w:t>
            </w:r>
          </w:p>
        </w:tc>
      </w:tr>
      <w:tr w:rsidR="00A40178" w:rsidRPr="009218F1" w14:paraId="01263F99" w14:textId="77777777" w:rsidTr="3812A881">
        <w:tc>
          <w:tcPr>
            <w:tcW w:w="2829" w:type="dxa"/>
            <w:shd w:val="clear" w:color="auto" w:fill="099BDD" w:themeFill="text2"/>
          </w:tcPr>
          <w:p w14:paraId="0580C7C0" w14:textId="77777777" w:rsidR="00A40178" w:rsidRPr="009218F1" w:rsidRDefault="3812A881" w:rsidP="009E7E21">
            <w:pPr>
              <w:pStyle w:val="Heading6"/>
              <w:spacing w:line="264" w:lineRule="auto"/>
              <w:rPr>
                <w:rFonts w:ascii="Calibri" w:hAnsi="Calibri"/>
                <w:b/>
                <w:color w:val="FFFFFF" w:themeColor="background1"/>
                <w:sz w:val="28"/>
                <w:szCs w:val="28"/>
              </w:rPr>
            </w:pPr>
            <w:r w:rsidRPr="009218F1">
              <w:rPr>
                <w:rFonts w:ascii="Calibri" w:eastAsia="Calibri" w:hAnsi="Calibri" w:cs="Calibri"/>
                <w:color w:val="FFFFFF" w:themeColor="background1"/>
                <w:sz w:val="28"/>
                <w:szCs w:val="28"/>
              </w:rPr>
              <w:t>Date of issue</w:t>
            </w:r>
          </w:p>
        </w:tc>
        <w:tc>
          <w:tcPr>
            <w:tcW w:w="6747" w:type="dxa"/>
          </w:tcPr>
          <w:p w14:paraId="387BD1A4" w14:textId="4C5ACAA6" w:rsidR="00A40178" w:rsidRPr="009218F1" w:rsidRDefault="00FD6CDF" w:rsidP="009E7E21">
            <w:pPr>
              <w:spacing w:after="200" w:line="264" w:lineRule="auto"/>
              <w:rPr>
                <w:rFonts w:ascii="Calibri" w:hAnsi="Calibri"/>
                <w:sz w:val="28"/>
                <w:szCs w:val="28"/>
              </w:rPr>
            </w:pPr>
            <w:r w:rsidRPr="009218F1">
              <w:rPr>
                <w:rFonts w:ascii="Calibri" w:eastAsia="Calibri" w:hAnsi="Calibri" w:cs="Calibri"/>
                <w:sz w:val="28"/>
                <w:szCs w:val="28"/>
              </w:rPr>
              <w:t>February 2017</w:t>
            </w:r>
          </w:p>
        </w:tc>
      </w:tr>
      <w:tr w:rsidR="00A40178" w:rsidRPr="009218F1" w14:paraId="40097A9A" w14:textId="77777777" w:rsidTr="3812A881">
        <w:tc>
          <w:tcPr>
            <w:tcW w:w="2829" w:type="dxa"/>
            <w:shd w:val="clear" w:color="auto" w:fill="099BDD" w:themeFill="text2"/>
          </w:tcPr>
          <w:p w14:paraId="33627AD8" w14:textId="77777777" w:rsidR="00A40178" w:rsidRPr="009218F1" w:rsidRDefault="3812A881" w:rsidP="009E7E21">
            <w:pPr>
              <w:pStyle w:val="Heading6"/>
              <w:spacing w:line="264" w:lineRule="auto"/>
              <w:rPr>
                <w:rFonts w:ascii="Calibri" w:hAnsi="Calibri"/>
                <w:b/>
                <w:color w:val="FFFFFF" w:themeColor="background1"/>
                <w:sz w:val="28"/>
                <w:szCs w:val="28"/>
              </w:rPr>
            </w:pPr>
            <w:r w:rsidRPr="009218F1">
              <w:rPr>
                <w:rFonts w:ascii="Calibri" w:eastAsia="Calibri" w:hAnsi="Calibri" w:cs="Calibri"/>
                <w:color w:val="FFFFFF" w:themeColor="background1"/>
                <w:sz w:val="28"/>
                <w:szCs w:val="28"/>
              </w:rPr>
              <w:t>Next review date</w:t>
            </w:r>
          </w:p>
        </w:tc>
        <w:tc>
          <w:tcPr>
            <w:tcW w:w="6747" w:type="dxa"/>
          </w:tcPr>
          <w:p w14:paraId="640F7507" w14:textId="241BD6E9" w:rsidR="00A40178" w:rsidRPr="009218F1" w:rsidRDefault="00DB6A74" w:rsidP="009E7E21">
            <w:pPr>
              <w:spacing w:after="200" w:line="264" w:lineRule="auto"/>
              <w:rPr>
                <w:rFonts w:ascii="Calibri" w:hAnsi="Calibri"/>
                <w:sz w:val="28"/>
                <w:szCs w:val="28"/>
              </w:rPr>
            </w:pPr>
            <w:r w:rsidRPr="009218F1">
              <w:rPr>
                <w:rFonts w:ascii="Calibri" w:eastAsia="Calibri" w:hAnsi="Calibri" w:cs="Calibri"/>
                <w:sz w:val="28"/>
                <w:szCs w:val="28"/>
              </w:rPr>
              <w:t>September 202</w:t>
            </w:r>
            <w:r w:rsidR="0060679E">
              <w:rPr>
                <w:rFonts w:ascii="Calibri" w:eastAsia="Calibri" w:hAnsi="Calibri" w:cs="Calibri"/>
                <w:sz w:val="28"/>
                <w:szCs w:val="28"/>
              </w:rPr>
              <w:t>5</w:t>
            </w:r>
          </w:p>
        </w:tc>
      </w:tr>
      <w:tr w:rsidR="00A40178" w:rsidRPr="009218F1" w14:paraId="13B9F795" w14:textId="77777777" w:rsidTr="3812A881">
        <w:tc>
          <w:tcPr>
            <w:tcW w:w="2829" w:type="dxa"/>
            <w:shd w:val="clear" w:color="auto" w:fill="099BDD" w:themeFill="text2"/>
          </w:tcPr>
          <w:p w14:paraId="46B13B10" w14:textId="77777777" w:rsidR="00A40178" w:rsidRPr="009218F1" w:rsidRDefault="3812A881" w:rsidP="009E7E21">
            <w:pPr>
              <w:pStyle w:val="Heading6"/>
              <w:spacing w:line="264" w:lineRule="auto"/>
              <w:rPr>
                <w:rFonts w:ascii="Calibri" w:hAnsi="Calibri"/>
                <w:b/>
                <w:color w:val="FFFFFF" w:themeColor="background1"/>
                <w:sz w:val="28"/>
                <w:szCs w:val="28"/>
              </w:rPr>
            </w:pPr>
            <w:r w:rsidRPr="009218F1">
              <w:rPr>
                <w:rFonts w:ascii="Calibri" w:eastAsia="Calibri" w:hAnsi="Calibri" w:cs="Calibri"/>
                <w:color w:val="FFFFFF" w:themeColor="background1"/>
                <w:sz w:val="28"/>
                <w:szCs w:val="28"/>
              </w:rPr>
              <w:t>Document ref &amp; version</w:t>
            </w:r>
          </w:p>
        </w:tc>
        <w:tc>
          <w:tcPr>
            <w:tcW w:w="6747" w:type="dxa"/>
          </w:tcPr>
          <w:p w14:paraId="1833BBD7" w14:textId="014ABFEF" w:rsidR="00A40178" w:rsidRPr="009218F1" w:rsidRDefault="00FD6CDF" w:rsidP="009E7E21">
            <w:pPr>
              <w:spacing w:after="200" w:line="264" w:lineRule="auto"/>
              <w:rPr>
                <w:rFonts w:ascii="Calibri" w:hAnsi="Calibri"/>
                <w:sz w:val="28"/>
                <w:szCs w:val="28"/>
              </w:rPr>
            </w:pPr>
            <w:r w:rsidRPr="009218F1">
              <w:rPr>
                <w:rFonts w:ascii="Calibri" w:eastAsia="Calibri" w:hAnsi="Calibri" w:cs="Calibri"/>
                <w:sz w:val="28"/>
                <w:szCs w:val="28"/>
              </w:rPr>
              <w:t xml:space="preserve">Death of </w:t>
            </w:r>
            <w:r w:rsidR="0060679E">
              <w:rPr>
                <w:rFonts w:ascii="Calibri" w:eastAsia="Calibri" w:hAnsi="Calibri" w:cs="Calibri"/>
                <w:sz w:val="28"/>
                <w:szCs w:val="28"/>
              </w:rPr>
              <w:t>S</w:t>
            </w:r>
            <w:r w:rsidRPr="009218F1">
              <w:rPr>
                <w:rFonts w:ascii="Calibri" w:eastAsia="Calibri" w:hAnsi="Calibri" w:cs="Calibri"/>
                <w:sz w:val="28"/>
                <w:szCs w:val="28"/>
              </w:rPr>
              <w:t xml:space="preserve">ervice </w:t>
            </w:r>
            <w:r w:rsidR="0060679E">
              <w:rPr>
                <w:rFonts w:ascii="Calibri" w:eastAsia="Calibri" w:hAnsi="Calibri" w:cs="Calibri"/>
                <w:sz w:val="28"/>
                <w:szCs w:val="28"/>
              </w:rPr>
              <w:t>U</w:t>
            </w:r>
            <w:r w:rsidRPr="009218F1">
              <w:rPr>
                <w:rFonts w:ascii="Calibri" w:eastAsia="Calibri" w:hAnsi="Calibri" w:cs="Calibri"/>
                <w:sz w:val="28"/>
                <w:szCs w:val="28"/>
              </w:rPr>
              <w:t xml:space="preserve">ser </w:t>
            </w:r>
            <w:r w:rsidR="0060679E">
              <w:rPr>
                <w:rFonts w:ascii="Calibri" w:eastAsia="Calibri" w:hAnsi="Calibri" w:cs="Calibri"/>
                <w:sz w:val="28"/>
                <w:szCs w:val="28"/>
              </w:rPr>
              <w:t xml:space="preserve">Policy </w:t>
            </w:r>
            <w:r w:rsidRPr="009218F1">
              <w:rPr>
                <w:rFonts w:ascii="Calibri" w:eastAsia="Calibri" w:hAnsi="Calibri" w:cs="Calibri"/>
                <w:sz w:val="28"/>
                <w:szCs w:val="28"/>
              </w:rPr>
              <w:t>V1</w:t>
            </w:r>
            <w:r w:rsidR="00DB6A74" w:rsidRPr="009218F1">
              <w:rPr>
                <w:rFonts w:ascii="Calibri" w:eastAsia="Calibri" w:hAnsi="Calibri" w:cs="Calibri"/>
                <w:sz w:val="28"/>
                <w:szCs w:val="28"/>
              </w:rPr>
              <w:t xml:space="preserve"> </w:t>
            </w:r>
          </w:p>
        </w:tc>
      </w:tr>
    </w:tbl>
    <w:p w14:paraId="605BC5C0" w14:textId="77777777" w:rsidR="00A40178" w:rsidRPr="009218F1" w:rsidRDefault="3812A881" w:rsidP="009E7E21">
      <w:pPr>
        <w:rPr>
          <w:rFonts w:ascii="Calibri" w:hAnsi="Calibri"/>
          <w:b/>
          <w:color w:val="099BDD" w:themeColor="text2"/>
          <w:sz w:val="24"/>
          <w:szCs w:val="24"/>
        </w:rPr>
      </w:pPr>
      <w:r w:rsidRPr="009218F1">
        <w:rPr>
          <w:rFonts w:ascii="Calibri" w:eastAsia="Calibri" w:hAnsi="Calibri" w:cs="Calibri"/>
          <w:b/>
          <w:bCs/>
          <w:color w:val="099BDD" w:themeColor="text2"/>
          <w:sz w:val="24"/>
          <w:szCs w:val="24"/>
        </w:rPr>
        <w:t>Related policies and guidance</w:t>
      </w:r>
    </w:p>
    <w:p w14:paraId="3BBE408D" w14:textId="2BB1F6E4" w:rsidR="00A40178" w:rsidRPr="0060679E" w:rsidRDefault="00A40178" w:rsidP="0060679E">
      <w:pPr>
        <w:rPr>
          <w:rFonts w:ascii="Calibri" w:hAnsi="Calibri"/>
          <w:b/>
          <w:sz w:val="24"/>
          <w:szCs w:val="24"/>
        </w:rPr>
      </w:pPr>
    </w:p>
    <w:p w14:paraId="0CBF26FC" w14:textId="299E8F44" w:rsidR="00A40178" w:rsidRDefault="3812A881" w:rsidP="009E7E21">
      <w:pPr>
        <w:rPr>
          <w:rFonts w:ascii="Calibri" w:eastAsia="Calibri" w:hAnsi="Calibri" w:cs="Calibri"/>
          <w:b/>
          <w:bCs/>
          <w:color w:val="099BDD" w:themeColor="text2"/>
          <w:sz w:val="24"/>
          <w:szCs w:val="24"/>
        </w:rPr>
      </w:pPr>
      <w:r w:rsidRPr="009218F1">
        <w:rPr>
          <w:rFonts w:ascii="Calibri" w:eastAsia="Calibri" w:hAnsi="Calibri" w:cs="Calibri"/>
          <w:b/>
          <w:bCs/>
          <w:color w:val="099BDD" w:themeColor="text2"/>
          <w:sz w:val="24"/>
          <w:szCs w:val="24"/>
        </w:rPr>
        <w:t>Document revision and approval history</w:t>
      </w:r>
    </w:p>
    <w:tbl>
      <w:tblPr>
        <w:tblStyle w:val="TableGrid"/>
        <w:tblW w:w="0" w:type="auto"/>
        <w:tblLook w:val="04A0" w:firstRow="1" w:lastRow="0" w:firstColumn="1" w:lastColumn="0" w:noHBand="0" w:noVBand="1"/>
      </w:tblPr>
      <w:tblGrid>
        <w:gridCol w:w="1184"/>
        <w:gridCol w:w="1221"/>
        <w:gridCol w:w="1504"/>
        <w:gridCol w:w="1951"/>
        <w:gridCol w:w="3490"/>
      </w:tblGrid>
      <w:tr w:rsidR="0060679E" w:rsidRPr="009218F1" w14:paraId="13261E74" w14:textId="77777777" w:rsidTr="00F6061A">
        <w:tc>
          <w:tcPr>
            <w:tcW w:w="1184" w:type="dxa"/>
            <w:shd w:val="clear" w:color="auto" w:fill="099BDD" w:themeFill="text2"/>
          </w:tcPr>
          <w:p w14:paraId="6C941138" w14:textId="77777777" w:rsidR="0060679E" w:rsidRPr="009218F1" w:rsidRDefault="0060679E" w:rsidP="00F6061A">
            <w:pPr>
              <w:spacing w:after="200" w:line="264" w:lineRule="auto"/>
              <w:rPr>
                <w:rFonts w:ascii="Calibri" w:hAnsi="Calibri"/>
                <w:color w:val="FFFFFF" w:themeColor="background1"/>
              </w:rPr>
            </w:pPr>
            <w:r w:rsidRPr="009218F1">
              <w:rPr>
                <w:rFonts w:ascii="Calibri" w:eastAsia="Calibri" w:hAnsi="Calibri" w:cs="Calibri"/>
                <w:color w:val="FFFFFF" w:themeColor="background1"/>
              </w:rPr>
              <w:t>Version</w:t>
            </w:r>
          </w:p>
        </w:tc>
        <w:tc>
          <w:tcPr>
            <w:tcW w:w="1221" w:type="dxa"/>
            <w:shd w:val="clear" w:color="auto" w:fill="099BDD" w:themeFill="text2"/>
          </w:tcPr>
          <w:p w14:paraId="07657BAC" w14:textId="77777777" w:rsidR="0060679E" w:rsidRPr="009218F1" w:rsidRDefault="0060679E" w:rsidP="00F6061A">
            <w:pPr>
              <w:spacing w:after="200" w:line="264" w:lineRule="auto"/>
              <w:rPr>
                <w:rFonts w:ascii="Calibri" w:hAnsi="Calibri"/>
                <w:color w:val="FFFFFF" w:themeColor="background1"/>
              </w:rPr>
            </w:pPr>
            <w:r w:rsidRPr="009218F1">
              <w:rPr>
                <w:rFonts w:ascii="Calibri" w:eastAsia="Calibri" w:hAnsi="Calibri" w:cs="Calibri"/>
                <w:color w:val="FFFFFF" w:themeColor="background1"/>
              </w:rPr>
              <w:t>Date</w:t>
            </w:r>
          </w:p>
        </w:tc>
        <w:tc>
          <w:tcPr>
            <w:tcW w:w="1504" w:type="dxa"/>
            <w:shd w:val="clear" w:color="auto" w:fill="099BDD" w:themeFill="text2"/>
          </w:tcPr>
          <w:p w14:paraId="5B461F5E" w14:textId="77777777" w:rsidR="0060679E" w:rsidRPr="009218F1" w:rsidRDefault="0060679E" w:rsidP="00F6061A">
            <w:pPr>
              <w:spacing w:after="200" w:line="264" w:lineRule="auto"/>
              <w:rPr>
                <w:rFonts w:ascii="Calibri" w:hAnsi="Calibri"/>
                <w:color w:val="FFFFFF" w:themeColor="background1"/>
              </w:rPr>
            </w:pPr>
            <w:r w:rsidRPr="009218F1">
              <w:rPr>
                <w:rFonts w:ascii="Calibri" w:eastAsia="Calibri" w:hAnsi="Calibri" w:cs="Calibri"/>
                <w:color w:val="FFFFFF" w:themeColor="background1"/>
              </w:rPr>
              <w:t>Author</w:t>
            </w:r>
          </w:p>
        </w:tc>
        <w:tc>
          <w:tcPr>
            <w:tcW w:w="1951" w:type="dxa"/>
            <w:shd w:val="clear" w:color="auto" w:fill="099BDD" w:themeFill="text2"/>
          </w:tcPr>
          <w:p w14:paraId="2C2E4798" w14:textId="77777777" w:rsidR="0060679E" w:rsidRPr="009218F1" w:rsidRDefault="0060679E" w:rsidP="00F6061A">
            <w:pPr>
              <w:spacing w:after="200" w:line="264" w:lineRule="auto"/>
              <w:rPr>
                <w:rFonts w:ascii="Calibri" w:hAnsi="Calibri"/>
                <w:color w:val="FFFFFF" w:themeColor="background1"/>
              </w:rPr>
            </w:pPr>
            <w:r w:rsidRPr="009218F1">
              <w:rPr>
                <w:rFonts w:ascii="Calibri" w:eastAsia="Calibri" w:hAnsi="Calibri" w:cs="Calibri"/>
                <w:color w:val="FFFFFF" w:themeColor="background1"/>
              </w:rPr>
              <w:t>Approved by</w:t>
            </w:r>
          </w:p>
        </w:tc>
        <w:tc>
          <w:tcPr>
            <w:tcW w:w="3490" w:type="dxa"/>
            <w:shd w:val="clear" w:color="auto" w:fill="099BDD" w:themeFill="text2"/>
          </w:tcPr>
          <w:p w14:paraId="067D6205" w14:textId="77777777" w:rsidR="0060679E" w:rsidRPr="009218F1" w:rsidRDefault="0060679E" w:rsidP="00F6061A">
            <w:pPr>
              <w:spacing w:after="200" w:line="264" w:lineRule="auto"/>
              <w:rPr>
                <w:rFonts w:ascii="Calibri" w:hAnsi="Calibri"/>
                <w:color w:val="FFFFFF" w:themeColor="background1"/>
              </w:rPr>
            </w:pPr>
            <w:r w:rsidRPr="009218F1">
              <w:rPr>
                <w:rFonts w:ascii="Calibri" w:eastAsia="Calibri" w:hAnsi="Calibri" w:cs="Calibri"/>
                <w:color w:val="FFFFFF" w:themeColor="background1"/>
              </w:rPr>
              <w:t>Comments</w:t>
            </w:r>
          </w:p>
        </w:tc>
      </w:tr>
      <w:tr w:rsidR="0060679E" w:rsidRPr="009218F1" w14:paraId="292491D5" w14:textId="77777777" w:rsidTr="00F6061A">
        <w:tc>
          <w:tcPr>
            <w:tcW w:w="1184" w:type="dxa"/>
          </w:tcPr>
          <w:p w14:paraId="386B0A4E" w14:textId="77777777" w:rsidR="0060679E" w:rsidRPr="009218F1" w:rsidRDefault="0060679E" w:rsidP="00F6061A">
            <w:pPr>
              <w:spacing w:after="200" w:line="264" w:lineRule="auto"/>
              <w:rPr>
                <w:rFonts w:ascii="Calibri" w:hAnsi="Calibri"/>
              </w:rPr>
            </w:pPr>
            <w:r w:rsidRPr="009218F1">
              <w:rPr>
                <w:rFonts w:ascii="Calibri" w:eastAsia="Calibri" w:hAnsi="Calibri" w:cs="Calibri"/>
              </w:rPr>
              <w:t>V1</w:t>
            </w:r>
          </w:p>
        </w:tc>
        <w:tc>
          <w:tcPr>
            <w:tcW w:w="1221" w:type="dxa"/>
          </w:tcPr>
          <w:p w14:paraId="7D7714B8" w14:textId="77777777" w:rsidR="0060679E" w:rsidRPr="009218F1" w:rsidRDefault="0060679E" w:rsidP="00F6061A">
            <w:pPr>
              <w:spacing w:after="200" w:line="264" w:lineRule="auto"/>
              <w:rPr>
                <w:rFonts w:ascii="Calibri" w:hAnsi="Calibri"/>
              </w:rPr>
            </w:pPr>
            <w:r w:rsidRPr="009218F1">
              <w:rPr>
                <w:rFonts w:ascii="Calibri" w:eastAsia="Calibri" w:hAnsi="Calibri" w:cs="Calibri"/>
              </w:rPr>
              <w:t>Feb</w:t>
            </w:r>
            <w:r>
              <w:rPr>
                <w:rFonts w:ascii="Calibri" w:eastAsia="Calibri" w:hAnsi="Calibri" w:cs="Calibri"/>
              </w:rPr>
              <w:t xml:space="preserve"> 20</w:t>
            </w:r>
            <w:r w:rsidRPr="009218F1">
              <w:rPr>
                <w:rFonts w:ascii="Calibri" w:eastAsia="Calibri" w:hAnsi="Calibri" w:cs="Calibri"/>
              </w:rPr>
              <w:t>17</w:t>
            </w:r>
          </w:p>
        </w:tc>
        <w:tc>
          <w:tcPr>
            <w:tcW w:w="1504" w:type="dxa"/>
          </w:tcPr>
          <w:p w14:paraId="5C62D47F" w14:textId="77777777" w:rsidR="0060679E" w:rsidRPr="009218F1" w:rsidRDefault="0060679E" w:rsidP="00F6061A">
            <w:pPr>
              <w:spacing w:after="200" w:line="264" w:lineRule="auto"/>
              <w:rPr>
                <w:rFonts w:ascii="Calibri" w:hAnsi="Calibri"/>
              </w:rPr>
            </w:pPr>
            <w:r w:rsidRPr="009218F1">
              <w:rPr>
                <w:rFonts w:ascii="Calibri" w:hAnsi="Calibri"/>
              </w:rPr>
              <w:t xml:space="preserve"> </w:t>
            </w:r>
          </w:p>
        </w:tc>
        <w:tc>
          <w:tcPr>
            <w:tcW w:w="1951" w:type="dxa"/>
          </w:tcPr>
          <w:p w14:paraId="567EFD81" w14:textId="77777777" w:rsidR="0060679E" w:rsidRPr="009218F1" w:rsidRDefault="0060679E" w:rsidP="00F6061A">
            <w:pPr>
              <w:spacing w:after="200" w:line="264" w:lineRule="auto"/>
              <w:rPr>
                <w:rFonts w:ascii="Calibri" w:hAnsi="Calibri"/>
              </w:rPr>
            </w:pPr>
          </w:p>
        </w:tc>
        <w:tc>
          <w:tcPr>
            <w:tcW w:w="3490" w:type="dxa"/>
          </w:tcPr>
          <w:p w14:paraId="60D010E2" w14:textId="77777777" w:rsidR="0060679E" w:rsidRPr="009218F1" w:rsidRDefault="0060679E" w:rsidP="00F6061A">
            <w:pPr>
              <w:spacing w:after="200" w:line="264" w:lineRule="auto"/>
              <w:rPr>
                <w:rFonts w:ascii="Calibri" w:hAnsi="Calibri"/>
              </w:rPr>
            </w:pPr>
            <w:r w:rsidRPr="009218F1">
              <w:rPr>
                <w:rFonts w:ascii="Calibri" w:eastAsia="Calibri" w:hAnsi="Calibri" w:cs="Calibri"/>
              </w:rPr>
              <w:t xml:space="preserve">Reviewed by DH - references, edits updated </w:t>
            </w:r>
          </w:p>
        </w:tc>
      </w:tr>
      <w:tr w:rsidR="0060679E" w:rsidRPr="009218F1" w14:paraId="050C8360" w14:textId="77777777" w:rsidTr="00F6061A">
        <w:tc>
          <w:tcPr>
            <w:tcW w:w="1184" w:type="dxa"/>
          </w:tcPr>
          <w:p w14:paraId="7AFB6926" w14:textId="77777777" w:rsidR="0060679E" w:rsidRPr="009218F1" w:rsidRDefault="0060679E" w:rsidP="00F6061A">
            <w:pPr>
              <w:spacing w:after="200" w:line="264" w:lineRule="auto"/>
              <w:rPr>
                <w:rFonts w:ascii="Calibri" w:hAnsi="Calibri"/>
              </w:rPr>
            </w:pPr>
          </w:p>
        </w:tc>
        <w:tc>
          <w:tcPr>
            <w:tcW w:w="1221" w:type="dxa"/>
          </w:tcPr>
          <w:p w14:paraId="19FDCFAB" w14:textId="77777777" w:rsidR="0060679E" w:rsidRPr="009218F1" w:rsidRDefault="0060679E" w:rsidP="00F6061A">
            <w:pPr>
              <w:spacing w:after="200" w:line="264" w:lineRule="auto"/>
              <w:rPr>
                <w:rFonts w:ascii="Calibri" w:hAnsi="Calibri"/>
              </w:rPr>
            </w:pPr>
            <w:r w:rsidRPr="009218F1">
              <w:rPr>
                <w:rFonts w:ascii="Calibri" w:hAnsi="Calibri"/>
              </w:rPr>
              <w:t xml:space="preserve">Aug </w:t>
            </w:r>
            <w:r>
              <w:rPr>
                <w:rFonts w:ascii="Calibri" w:hAnsi="Calibri"/>
              </w:rPr>
              <w:t>20</w:t>
            </w:r>
            <w:r w:rsidRPr="009218F1">
              <w:rPr>
                <w:rFonts w:ascii="Calibri" w:hAnsi="Calibri"/>
              </w:rPr>
              <w:t>19</w:t>
            </w:r>
          </w:p>
        </w:tc>
        <w:tc>
          <w:tcPr>
            <w:tcW w:w="1504" w:type="dxa"/>
          </w:tcPr>
          <w:p w14:paraId="39148626" w14:textId="77777777" w:rsidR="0060679E" w:rsidRPr="009218F1" w:rsidRDefault="0060679E" w:rsidP="00F6061A">
            <w:pPr>
              <w:spacing w:after="200" w:line="264" w:lineRule="auto"/>
              <w:rPr>
                <w:rFonts w:ascii="Calibri" w:hAnsi="Calibri"/>
              </w:rPr>
            </w:pPr>
          </w:p>
        </w:tc>
        <w:tc>
          <w:tcPr>
            <w:tcW w:w="1951" w:type="dxa"/>
          </w:tcPr>
          <w:p w14:paraId="636B2E07" w14:textId="77777777" w:rsidR="0060679E" w:rsidRPr="009218F1" w:rsidRDefault="0060679E" w:rsidP="00F6061A">
            <w:pPr>
              <w:spacing w:after="200" w:line="264" w:lineRule="auto"/>
              <w:rPr>
                <w:rFonts w:ascii="Calibri" w:hAnsi="Calibri"/>
              </w:rPr>
            </w:pPr>
          </w:p>
        </w:tc>
        <w:tc>
          <w:tcPr>
            <w:tcW w:w="3490" w:type="dxa"/>
          </w:tcPr>
          <w:p w14:paraId="21D1B4A9" w14:textId="77777777" w:rsidR="0060679E" w:rsidRPr="009218F1" w:rsidRDefault="0060679E" w:rsidP="00F6061A">
            <w:pPr>
              <w:spacing w:after="200" w:line="264" w:lineRule="auto"/>
              <w:rPr>
                <w:rFonts w:ascii="Calibri" w:hAnsi="Calibri"/>
              </w:rPr>
            </w:pPr>
            <w:r w:rsidRPr="009218F1">
              <w:rPr>
                <w:rFonts w:ascii="Calibri" w:hAnsi="Calibri"/>
              </w:rPr>
              <w:t>Reviewed unchanged JL</w:t>
            </w:r>
          </w:p>
        </w:tc>
      </w:tr>
      <w:tr w:rsidR="0060679E" w:rsidRPr="009218F1" w14:paraId="2081846C" w14:textId="77777777" w:rsidTr="00F6061A">
        <w:tc>
          <w:tcPr>
            <w:tcW w:w="1184" w:type="dxa"/>
          </w:tcPr>
          <w:p w14:paraId="4C18B465" w14:textId="77777777" w:rsidR="0060679E" w:rsidRPr="009218F1" w:rsidRDefault="0060679E" w:rsidP="00F6061A">
            <w:pPr>
              <w:rPr>
                <w:rFonts w:ascii="Calibri" w:hAnsi="Calibri"/>
              </w:rPr>
            </w:pPr>
          </w:p>
        </w:tc>
        <w:tc>
          <w:tcPr>
            <w:tcW w:w="1221" w:type="dxa"/>
          </w:tcPr>
          <w:p w14:paraId="6ACD5B35" w14:textId="77777777" w:rsidR="0060679E" w:rsidRPr="009218F1" w:rsidRDefault="0060679E" w:rsidP="00F6061A">
            <w:pPr>
              <w:rPr>
                <w:rFonts w:ascii="Calibri" w:hAnsi="Calibri"/>
              </w:rPr>
            </w:pPr>
            <w:r w:rsidRPr="009218F1">
              <w:rPr>
                <w:rFonts w:ascii="Calibri" w:hAnsi="Calibri"/>
              </w:rPr>
              <w:t>Sep 2021</w:t>
            </w:r>
          </w:p>
        </w:tc>
        <w:tc>
          <w:tcPr>
            <w:tcW w:w="1504" w:type="dxa"/>
          </w:tcPr>
          <w:p w14:paraId="6330FC42" w14:textId="77777777" w:rsidR="0060679E" w:rsidRPr="009218F1" w:rsidRDefault="0060679E" w:rsidP="00F6061A">
            <w:pPr>
              <w:rPr>
                <w:rFonts w:ascii="Calibri" w:hAnsi="Calibri"/>
              </w:rPr>
            </w:pPr>
          </w:p>
        </w:tc>
        <w:tc>
          <w:tcPr>
            <w:tcW w:w="1951" w:type="dxa"/>
          </w:tcPr>
          <w:p w14:paraId="694A617E" w14:textId="77777777" w:rsidR="0060679E" w:rsidRPr="009218F1" w:rsidRDefault="0060679E" w:rsidP="00F6061A">
            <w:pPr>
              <w:rPr>
                <w:rFonts w:ascii="Calibri" w:hAnsi="Calibri"/>
              </w:rPr>
            </w:pPr>
          </w:p>
        </w:tc>
        <w:tc>
          <w:tcPr>
            <w:tcW w:w="3490" w:type="dxa"/>
          </w:tcPr>
          <w:p w14:paraId="658AFFBB" w14:textId="77777777" w:rsidR="0060679E" w:rsidRPr="009218F1" w:rsidRDefault="0060679E" w:rsidP="00F6061A">
            <w:pPr>
              <w:rPr>
                <w:rFonts w:ascii="Calibri" w:hAnsi="Calibri"/>
              </w:rPr>
            </w:pPr>
            <w:r w:rsidRPr="009218F1">
              <w:rPr>
                <w:rFonts w:ascii="Calibri" w:hAnsi="Calibri"/>
              </w:rPr>
              <w:t>Reviewed unchanged DH</w:t>
            </w:r>
          </w:p>
        </w:tc>
      </w:tr>
      <w:tr w:rsidR="0060679E" w:rsidRPr="009218F1" w14:paraId="5F603C7B" w14:textId="77777777" w:rsidTr="00F6061A">
        <w:tc>
          <w:tcPr>
            <w:tcW w:w="1184" w:type="dxa"/>
          </w:tcPr>
          <w:p w14:paraId="23C1F4C2" w14:textId="77777777" w:rsidR="0060679E" w:rsidRPr="009218F1" w:rsidRDefault="0060679E" w:rsidP="00F6061A">
            <w:pPr>
              <w:rPr>
                <w:rFonts w:ascii="Calibri" w:hAnsi="Calibri"/>
              </w:rPr>
            </w:pPr>
          </w:p>
        </w:tc>
        <w:tc>
          <w:tcPr>
            <w:tcW w:w="1221" w:type="dxa"/>
          </w:tcPr>
          <w:p w14:paraId="62D781ED" w14:textId="77777777" w:rsidR="0060679E" w:rsidRPr="009218F1" w:rsidRDefault="0060679E" w:rsidP="00F6061A">
            <w:pPr>
              <w:rPr>
                <w:rFonts w:ascii="Calibri" w:hAnsi="Calibri"/>
              </w:rPr>
            </w:pPr>
            <w:r w:rsidRPr="009218F1">
              <w:rPr>
                <w:rFonts w:ascii="Calibri" w:hAnsi="Calibri"/>
              </w:rPr>
              <w:t xml:space="preserve">Sep </w:t>
            </w:r>
            <w:r>
              <w:rPr>
                <w:rFonts w:ascii="Calibri" w:hAnsi="Calibri"/>
              </w:rPr>
              <w:t>20</w:t>
            </w:r>
            <w:r w:rsidRPr="009218F1">
              <w:rPr>
                <w:rFonts w:ascii="Calibri" w:hAnsi="Calibri"/>
              </w:rPr>
              <w:t>23</w:t>
            </w:r>
          </w:p>
        </w:tc>
        <w:tc>
          <w:tcPr>
            <w:tcW w:w="1504" w:type="dxa"/>
          </w:tcPr>
          <w:p w14:paraId="00A05DEF" w14:textId="77777777" w:rsidR="0060679E" w:rsidRPr="009218F1" w:rsidRDefault="0060679E" w:rsidP="00F6061A">
            <w:pPr>
              <w:rPr>
                <w:rFonts w:ascii="Calibri" w:hAnsi="Calibri"/>
              </w:rPr>
            </w:pPr>
          </w:p>
        </w:tc>
        <w:tc>
          <w:tcPr>
            <w:tcW w:w="1951" w:type="dxa"/>
          </w:tcPr>
          <w:p w14:paraId="23403E77" w14:textId="77777777" w:rsidR="0060679E" w:rsidRPr="009218F1" w:rsidRDefault="0060679E" w:rsidP="00F6061A">
            <w:pPr>
              <w:rPr>
                <w:rFonts w:ascii="Calibri" w:hAnsi="Calibri"/>
              </w:rPr>
            </w:pPr>
          </w:p>
        </w:tc>
        <w:tc>
          <w:tcPr>
            <w:tcW w:w="3490" w:type="dxa"/>
          </w:tcPr>
          <w:p w14:paraId="72A92E40" w14:textId="77777777" w:rsidR="0060679E" w:rsidRPr="009218F1" w:rsidRDefault="0060679E" w:rsidP="00F6061A">
            <w:pPr>
              <w:rPr>
                <w:rFonts w:ascii="Calibri" w:hAnsi="Calibri"/>
              </w:rPr>
            </w:pPr>
            <w:r w:rsidRPr="009218F1">
              <w:rPr>
                <w:rFonts w:ascii="Calibri" w:hAnsi="Calibri"/>
              </w:rPr>
              <w:t>Reviewed DH</w:t>
            </w:r>
          </w:p>
        </w:tc>
      </w:tr>
    </w:tbl>
    <w:p w14:paraId="42EAFDEB" w14:textId="4C1BEE85" w:rsidR="0060679E" w:rsidRDefault="0060679E" w:rsidP="009E7E21">
      <w:pPr>
        <w:rPr>
          <w:rFonts w:ascii="Calibri" w:eastAsia="Calibri" w:hAnsi="Calibri" w:cs="Calibri"/>
          <w:b/>
          <w:bCs/>
          <w:color w:val="099BDD" w:themeColor="text2"/>
          <w:sz w:val="24"/>
          <w:szCs w:val="24"/>
        </w:rPr>
      </w:pPr>
    </w:p>
    <w:p w14:paraId="6E346F05" w14:textId="77777777" w:rsidR="0060679E" w:rsidRPr="009218F1" w:rsidRDefault="0060679E" w:rsidP="0060679E">
      <w:pPr>
        <w:spacing w:before="0" w:after="0" w:line="240" w:lineRule="auto"/>
        <w:rPr>
          <w:rFonts w:ascii="Calibri" w:hAnsi="Calibri"/>
          <w:b/>
          <w:color w:val="099BDD" w:themeColor="text2"/>
          <w:sz w:val="24"/>
          <w:szCs w:val="24"/>
        </w:rPr>
      </w:pPr>
    </w:p>
    <w:p w14:paraId="0E2CD38F" w14:textId="77777777" w:rsidR="00B2309F" w:rsidRPr="009218F1" w:rsidRDefault="00B2309F" w:rsidP="00B2309F">
      <w:pPr>
        <w:pStyle w:val="Heading1"/>
      </w:pPr>
      <w:r w:rsidRPr="009218F1">
        <w:t xml:space="preserve">Document Summary </w:t>
      </w:r>
    </w:p>
    <w:p w14:paraId="68BCC2F4" w14:textId="3DC3103D" w:rsidR="00B2309F" w:rsidRPr="0060679E" w:rsidRDefault="00B2309F" w:rsidP="0060679E">
      <w:pPr>
        <w:pStyle w:val="Default"/>
        <w:spacing w:before="120"/>
        <w:rPr>
          <w:rFonts w:ascii="Calibri" w:hAnsi="Calibri"/>
          <w:color w:val="auto"/>
          <w:sz w:val="22"/>
          <w:szCs w:val="22"/>
        </w:rPr>
      </w:pPr>
      <w:r w:rsidRPr="0060679E">
        <w:rPr>
          <w:rFonts w:ascii="Calibri" w:hAnsi="Calibri"/>
          <w:color w:val="auto"/>
          <w:sz w:val="22"/>
          <w:szCs w:val="22"/>
        </w:rPr>
        <w:t xml:space="preserve">The way Castleman Healthcare Ltd staff manage and report the death of a service user is set out in this policy and procedure. </w:t>
      </w:r>
    </w:p>
    <w:p w14:paraId="2A453170" w14:textId="77777777" w:rsidR="00B2309F" w:rsidRPr="0060679E" w:rsidRDefault="00B2309F" w:rsidP="00B2309F">
      <w:pPr>
        <w:rPr>
          <w:rFonts w:ascii="Calibri" w:hAnsi="Calibri"/>
        </w:rPr>
      </w:pPr>
      <w:r w:rsidRPr="0060679E">
        <w:rPr>
          <w:rFonts w:ascii="Calibri" w:hAnsi="Calibri"/>
        </w:rPr>
        <w:t xml:space="preserve">The effective management of the death of a service user, its reporting and any subsequent enquiry is of primary importance and can help all those involved gain resolution and come to terms with the death in a safe way as well as creating learning opportunities for service improvement and patient safety. </w:t>
      </w:r>
    </w:p>
    <w:p w14:paraId="3B866EED" w14:textId="77777777" w:rsidR="00B2309F" w:rsidRPr="0060679E" w:rsidRDefault="00B2309F" w:rsidP="00B2309F">
      <w:pPr>
        <w:rPr>
          <w:rFonts w:ascii="Calibri" w:hAnsi="Calibri"/>
        </w:rPr>
      </w:pPr>
      <w:r w:rsidRPr="0060679E">
        <w:rPr>
          <w:rFonts w:ascii="Calibri" w:hAnsi="Calibri"/>
        </w:rPr>
        <w:t xml:space="preserve">This policy has been developed to provide a systematic approach to maintaining compliance with all guidance in this area. </w:t>
      </w:r>
    </w:p>
    <w:p w14:paraId="393E79BF" w14:textId="77777777" w:rsidR="00B2309F" w:rsidRPr="009218F1" w:rsidRDefault="00B2309F" w:rsidP="00B2309F">
      <w:pPr>
        <w:pStyle w:val="Heading1"/>
      </w:pPr>
      <w:r w:rsidRPr="009218F1">
        <w:t>Introduction</w:t>
      </w:r>
    </w:p>
    <w:p w14:paraId="2CD15F9E" w14:textId="77777777" w:rsidR="00B2309F" w:rsidRPr="0060679E" w:rsidRDefault="00B2309F" w:rsidP="00B2309F">
      <w:pPr>
        <w:rPr>
          <w:rFonts w:ascii="Calibri" w:eastAsia="Times New Roman" w:hAnsi="Calibri" w:cs="Calibri"/>
          <w:lang w:eastAsia="en-GB"/>
        </w:rPr>
      </w:pPr>
      <w:r w:rsidRPr="0060679E">
        <w:rPr>
          <w:rFonts w:ascii="Calibri" w:hAnsi="Calibri" w:cs="Calibri"/>
        </w:rPr>
        <w:t>All healthcare providers</w:t>
      </w:r>
      <w:r w:rsidRPr="0060679E">
        <w:rPr>
          <w:rFonts w:ascii="Calibri" w:hAnsi="Calibri" w:cs="Calibri"/>
          <w:b/>
        </w:rPr>
        <w:t xml:space="preserve"> </w:t>
      </w:r>
      <w:r w:rsidRPr="0060679E">
        <w:rPr>
          <w:rFonts w:ascii="Calibri" w:eastAsia="Times New Roman" w:hAnsi="Calibri" w:cs="Calibri"/>
          <w:lang w:eastAsia="en-GB"/>
        </w:rPr>
        <w:t>registered with the Care Quality Commission (CQC) are required (under the </w:t>
      </w:r>
      <w:hyperlink r:id="rId9" w:tgtFrame="_blank" w:history="1">
        <w:r w:rsidRPr="0060679E">
          <w:rPr>
            <w:rFonts w:ascii="Calibri" w:eastAsia="Times New Roman" w:hAnsi="Calibri" w:cs="Calibri"/>
            <w:lang w:eastAsia="en-GB"/>
          </w:rPr>
          <w:t>Health and Social Care Act 2008</w:t>
        </w:r>
      </w:hyperlink>
      <w:r w:rsidRPr="0060679E">
        <w:rPr>
          <w:rFonts w:ascii="Calibri" w:eastAsia="Times New Roman" w:hAnsi="Calibri" w:cs="Calibri"/>
          <w:lang w:eastAsia="en-GB"/>
        </w:rPr>
        <w:t xml:space="preserve">) to notify the CQC of a number of incidents, events, and changes. </w:t>
      </w:r>
    </w:p>
    <w:p w14:paraId="774DF1F5" w14:textId="77777777" w:rsidR="00B2309F" w:rsidRPr="0060679E" w:rsidRDefault="00B2309F" w:rsidP="00B2309F">
      <w:pPr>
        <w:rPr>
          <w:rFonts w:ascii="Calibri" w:hAnsi="Calibri" w:cs="Calibri"/>
          <w:b/>
        </w:rPr>
      </w:pPr>
      <w:r w:rsidRPr="0060679E">
        <w:rPr>
          <w:rFonts w:ascii="Calibri" w:eastAsia="Times New Roman" w:hAnsi="Calibri" w:cs="Calibri"/>
          <w:lang w:eastAsia="en-GB"/>
        </w:rPr>
        <w:t>This includes notifications of the death of a patient.</w:t>
      </w:r>
    </w:p>
    <w:p w14:paraId="044841BD" w14:textId="77777777" w:rsidR="00B2309F" w:rsidRPr="0060679E" w:rsidRDefault="00B2309F" w:rsidP="00B2309F">
      <w:pPr>
        <w:shd w:val="clear" w:color="auto" w:fill="FFFFFF"/>
        <w:spacing w:after="240" w:line="360" w:lineRule="atLeast"/>
        <w:textAlignment w:val="baseline"/>
        <w:rPr>
          <w:rFonts w:ascii="Calibri" w:eastAsia="Times New Roman" w:hAnsi="Calibri" w:cs="Calibri"/>
          <w:lang w:eastAsia="en-GB"/>
        </w:rPr>
      </w:pPr>
      <w:r w:rsidRPr="0060679E">
        <w:rPr>
          <w:rFonts w:ascii="Calibri" w:eastAsia="Times New Roman" w:hAnsi="Calibri" w:cs="Calibri"/>
          <w:lang w:eastAsia="en-GB"/>
        </w:rPr>
        <w:t>Providers do not need to notify CQC about every death of a registered patient, however, they must provide details if the death occurred while care was actually being provided, for example:</w:t>
      </w:r>
    </w:p>
    <w:p w14:paraId="630E9B57" w14:textId="77777777" w:rsidR="00B2309F" w:rsidRPr="0060679E" w:rsidRDefault="00B2309F" w:rsidP="00B2309F">
      <w:pPr>
        <w:numPr>
          <w:ilvl w:val="0"/>
          <w:numId w:val="47"/>
        </w:numPr>
        <w:spacing w:before="0" w:after="0" w:line="360" w:lineRule="atLeast"/>
        <w:ind w:left="360"/>
        <w:textAlignment w:val="baseline"/>
        <w:rPr>
          <w:rFonts w:ascii="Calibri" w:eastAsia="Times New Roman" w:hAnsi="Calibri" w:cs="Calibri"/>
          <w:lang w:eastAsia="en-GB"/>
        </w:rPr>
      </w:pPr>
      <w:r w:rsidRPr="0060679E">
        <w:rPr>
          <w:rFonts w:ascii="Calibri" w:eastAsia="Times New Roman" w:hAnsi="Calibri" w:cs="Calibri"/>
          <w:lang w:eastAsia="en-GB"/>
        </w:rPr>
        <w:t xml:space="preserve">While a patient was in consultation with their healthcare professional. </w:t>
      </w:r>
    </w:p>
    <w:p w14:paraId="426A54D6" w14:textId="77777777" w:rsidR="00B2309F" w:rsidRPr="0060679E" w:rsidRDefault="00B2309F" w:rsidP="00B2309F">
      <w:pPr>
        <w:numPr>
          <w:ilvl w:val="0"/>
          <w:numId w:val="47"/>
        </w:numPr>
        <w:spacing w:before="0" w:after="0" w:line="360" w:lineRule="atLeast"/>
        <w:ind w:left="360"/>
        <w:textAlignment w:val="baseline"/>
        <w:rPr>
          <w:rFonts w:ascii="Calibri" w:eastAsia="Times New Roman" w:hAnsi="Calibri" w:cs="Calibri"/>
          <w:lang w:eastAsia="en-GB"/>
        </w:rPr>
      </w:pPr>
      <w:r w:rsidRPr="0060679E">
        <w:rPr>
          <w:rFonts w:ascii="Calibri" w:eastAsia="Times New Roman" w:hAnsi="Calibri" w:cs="Calibri"/>
          <w:lang w:eastAsia="en-GB"/>
        </w:rPr>
        <w:t>While at the health centre or surgery where the care is being provided.</w:t>
      </w:r>
    </w:p>
    <w:p w14:paraId="044575BB" w14:textId="77777777" w:rsidR="00B2309F" w:rsidRPr="0060679E" w:rsidRDefault="00B2309F" w:rsidP="00B2309F">
      <w:pPr>
        <w:numPr>
          <w:ilvl w:val="0"/>
          <w:numId w:val="47"/>
        </w:numPr>
        <w:spacing w:before="0" w:after="0" w:line="360" w:lineRule="atLeast"/>
        <w:ind w:left="360"/>
        <w:textAlignment w:val="baseline"/>
        <w:rPr>
          <w:rFonts w:ascii="Calibri" w:eastAsia="Times New Roman" w:hAnsi="Calibri" w:cs="Calibri"/>
          <w:lang w:eastAsia="en-GB"/>
        </w:rPr>
      </w:pPr>
      <w:r w:rsidRPr="0060679E">
        <w:rPr>
          <w:rFonts w:ascii="Calibri" w:eastAsia="Times New Roman" w:hAnsi="Calibri" w:cs="Calibri"/>
          <w:lang w:eastAsia="en-GB"/>
        </w:rPr>
        <w:t>During a home visit.</w:t>
      </w:r>
    </w:p>
    <w:p w14:paraId="6F7314E5" w14:textId="77777777" w:rsidR="00B2309F" w:rsidRPr="0060679E" w:rsidRDefault="00B2309F" w:rsidP="00B2309F">
      <w:pPr>
        <w:shd w:val="clear" w:color="auto" w:fill="FFFFFF"/>
        <w:spacing w:after="240" w:line="360" w:lineRule="atLeast"/>
        <w:textAlignment w:val="baseline"/>
        <w:rPr>
          <w:rFonts w:ascii="Calibri" w:eastAsia="Times New Roman" w:hAnsi="Calibri" w:cs="Calibri"/>
          <w:lang w:eastAsia="en-GB"/>
        </w:rPr>
      </w:pPr>
      <w:r w:rsidRPr="0060679E">
        <w:rPr>
          <w:rFonts w:ascii="Calibri" w:eastAsia="Times New Roman" w:hAnsi="Calibri" w:cs="Calibri"/>
          <w:lang w:eastAsia="en-GB"/>
        </w:rPr>
        <w:t>In addition, providers must notify us of deaths that occur within two weeks of a clinical interaction with healthcare staff if:</w:t>
      </w:r>
    </w:p>
    <w:p w14:paraId="2CF58237" w14:textId="77777777" w:rsidR="00B2309F" w:rsidRPr="0060679E" w:rsidRDefault="00B2309F" w:rsidP="00B2309F">
      <w:pPr>
        <w:numPr>
          <w:ilvl w:val="0"/>
          <w:numId w:val="48"/>
        </w:numPr>
        <w:spacing w:before="0" w:after="0" w:line="360" w:lineRule="atLeast"/>
        <w:ind w:left="360"/>
        <w:textAlignment w:val="baseline"/>
        <w:rPr>
          <w:rFonts w:ascii="Calibri" w:eastAsia="Times New Roman" w:hAnsi="Calibri" w:cs="Calibri"/>
          <w:lang w:eastAsia="en-GB"/>
        </w:rPr>
      </w:pPr>
      <w:r w:rsidRPr="0060679E">
        <w:rPr>
          <w:rFonts w:ascii="Calibri" w:eastAsia="Times New Roman" w:hAnsi="Calibri" w:cs="Calibri"/>
          <w:bdr w:val="none" w:sz="0" w:space="0" w:color="auto" w:frame="1"/>
          <w:lang w:eastAsia="en-GB"/>
        </w:rPr>
        <w:t>the death was, or may have been, as a result of the care or how it was provided, </w:t>
      </w:r>
      <w:r w:rsidRPr="0060679E">
        <w:rPr>
          <w:rFonts w:ascii="Calibri" w:eastAsia="Times New Roman" w:hAnsi="Calibri" w:cs="Calibri"/>
          <w:b/>
          <w:bCs/>
          <w:bdr w:val="none" w:sz="0" w:space="0" w:color="auto" w:frame="1"/>
          <w:lang w:eastAsia="en-GB"/>
        </w:rPr>
        <w:t>and</w:t>
      </w:r>
    </w:p>
    <w:p w14:paraId="6191368B" w14:textId="77777777" w:rsidR="00B2309F" w:rsidRPr="0060679E" w:rsidRDefault="00B2309F" w:rsidP="00B2309F">
      <w:pPr>
        <w:numPr>
          <w:ilvl w:val="0"/>
          <w:numId w:val="48"/>
        </w:numPr>
        <w:spacing w:before="0" w:after="0" w:line="360" w:lineRule="atLeast"/>
        <w:ind w:left="360"/>
        <w:textAlignment w:val="baseline"/>
        <w:rPr>
          <w:rFonts w:ascii="Calibri" w:eastAsia="Times New Roman" w:hAnsi="Calibri" w:cs="Calibri"/>
          <w:lang w:eastAsia="en-GB"/>
        </w:rPr>
      </w:pPr>
      <w:r w:rsidRPr="0060679E">
        <w:rPr>
          <w:rFonts w:ascii="Calibri" w:eastAsia="Times New Roman" w:hAnsi="Calibri" w:cs="Calibri"/>
          <w:lang w:eastAsia="en-GB"/>
        </w:rPr>
        <w:t>could not be attributed to the course which the illness or medical condition would naturally have taken if the deceased had been receiving appropriate care and treatment.</w:t>
      </w:r>
    </w:p>
    <w:p w14:paraId="13E5448F" w14:textId="77777777" w:rsidR="00B2309F" w:rsidRPr="0060679E" w:rsidRDefault="00B2309F" w:rsidP="00B2309F">
      <w:pPr>
        <w:shd w:val="clear" w:color="auto" w:fill="FFFFFF"/>
        <w:spacing w:after="240" w:line="360" w:lineRule="atLeast"/>
        <w:textAlignment w:val="baseline"/>
        <w:rPr>
          <w:rFonts w:ascii="Calibri" w:eastAsia="Times New Roman" w:hAnsi="Calibri" w:cs="Calibri"/>
          <w:lang w:eastAsia="en-GB"/>
        </w:rPr>
      </w:pPr>
      <w:r w:rsidRPr="0060679E">
        <w:rPr>
          <w:rFonts w:ascii="Calibri" w:eastAsia="Times New Roman" w:hAnsi="Calibri" w:cs="Calibri"/>
          <w:lang w:eastAsia="en-GB"/>
        </w:rPr>
        <w:t>You would not, for example, need to notify the CQC of the death of a cancer patient that had an appointment for pain relieving medication the previous week.</w:t>
      </w:r>
    </w:p>
    <w:p w14:paraId="5D83DAE5" w14:textId="7BE7ADC2" w:rsidR="00B2309F" w:rsidRDefault="00B2309F" w:rsidP="00B2309F">
      <w:pPr>
        <w:shd w:val="clear" w:color="auto" w:fill="FFFFFF"/>
        <w:spacing w:after="240" w:line="360" w:lineRule="atLeast"/>
        <w:textAlignment w:val="baseline"/>
        <w:rPr>
          <w:rFonts w:ascii="Calibri" w:eastAsia="Times New Roman" w:hAnsi="Calibri" w:cs="Calibri"/>
          <w:lang w:eastAsia="en-GB"/>
        </w:rPr>
      </w:pPr>
      <w:r w:rsidRPr="0060679E">
        <w:rPr>
          <w:rFonts w:ascii="Calibri" w:eastAsia="Times New Roman" w:hAnsi="Calibri" w:cs="Calibri"/>
          <w:lang w:eastAsia="en-GB"/>
        </w:rPr>
        <w:t xml:space="preserve">These notifications must be submitted without delay and the reporting requirements shall be as per the following procedure: </w:t>
      </w:r>
    </w:p>
    <w:p w14:paraId="0201EB4F" w14:textId="1EACE4AE" w:rsidR="0060679E" w:rsidRDefault="0060679E" w:rsidP="00B2309F">
      <w:pPr>
        <w:shd w:val="clear" w:color="auto" w:fill="FFFFFF"/>
        <w:spacing w:after="240" w:line="360" w:lineRule="atLeast"/>
        <w:textAlignment w:val="baseline"/>
        <w:rPr>
          <w:rFonts w:ascii="Calibri" w:eastAsia="Times New Roman" w:hAnsi="Calibri" w:cs="Calibri"/>
          <w:lang w:eastAsia="en-GB"/>
        </w:rPr>
      </w:pPr>
    </w:p>
    <w:p w14:paraId="69CDBCC7" w14:textId="14D01FC6" w:rsidR="0060679E" w:rsidRDefault="0060679E" w:rsidP="00B2309F">
      <w:pPr>
        <w:shd w:val="clear" w:color="auto" w:fill="FFFFFF"/>
        <w:spacing w:after="240" w:line="360" w:lineRule="atLeast"/>
        <w:textAlignment w:val="baseline"/>
        <w:rPr>
          <w:rFonts w:ascii="Calibri" w:eastAsia="Times New Roman" w:hAnsi="Calibri" w:cs="Calibri"/>
          <w:lang w:eastAsia="en-GB"/>
        </w:rPr>
      </w:pPr>
    </w:p>
    <w:p w14:paraId="0F5F9D9D" w14:textId="77777777" w:rsidR="0060679E" w:rsidRPr="0060679E" w:rsidRDefault="0060679E" w:rsidP="0060679E">
      <w:pPr>
        <w:shd w:val="clear" w:color="auto" w:fill="FFFFFF"/>
        <w:spacing w:before="0" w:after="0" w:line="240" w:lineRule="auto"/>
        <w:textAlignment w:val="baseline"/>
        <w:rPr>
          <w:rFonts w:ascii="Calibri" w:eastAsia="Times New Roman" w:hAnsi="Calibri" w:cs="Calibri"/>
          <w:lang w:eastAsia="en-GB"/>
        </w:rPr>
      </w:pPr>
    </w:p>
    <w:p w14:paraId="26715ED5" w14:textId="77777777" w:rsidR="00B2309F" w:rsidRPr="009218F1" w:rsidRDefault="00B2309F" w:rsidP="00D84374">
      <w:pPr>
        <w:pStyle w:val="Heading1"/>
        <w:rPr>
          <w:lang w:eastAsia="en-GB"/>
        </w:rPr>
      </w:pPr>
      <w:r w:rsidRPr="009218F1">
        <w:rPr>
          <w:lang w:eastAsia="en-GB"/>
        </w:rPr>
        <w:t>Procedure</w:t>
      </w:r>
    </w:p>
    <w:p w14:paraId="664FCA79" w14:textId="48487294" w:rsidR="00B2309F" w:rsidRPr="0060679E" w:rsidRDefault="00B2309F" w:rsidP="00B2309F">
      <w:pPr>
        <w:shd w:val="clear" w:color="auto" w:fill="FFFFFF"/>
        <w:spacing w:after="240" w:line="360" w:lineRule="atLeast"/>
        <w:textAlignment w:val="baseline"/>
        <w:rPr>
          <w:rFonts w:ascii="Calibri" w:eastAsia="Times New Roman" w:hAnsi="Calibri" w:cs="Calibri"/>
          <w:lang w:eastAsia="en-GB"/>
        </w:rPr>
      </w:pPr>
      <w:r w:rsidRPr="0060679E">
        <w:rPr>
          <w:rFonts w:ascii="Calibri" w:eastAsia="Times New Roman" w:hAnsi="Calibri" w:cs="Calibri"/>
          <w:lang w:eastAsia="en-GB"/>
        </w:rPr>
        <w:t xml:space="preserve">The healthcare provider whether directly employed by Castleman Healthcare Ltd, or subcontracted to them shall immediately complete the CQC Death of a Service User form available from </w:t>
      </w:r>
      <w:hyperlink r:id="rId10" w:history="1">
        <w:r w:rsidR="009218F1" w:rsidRPr="0060679E">
          <w:rPr>
            <w:rStyle w:val="Hyperlink"/>
            <w:rFonts w:ascii="Calibri" w:hAnsi="Calibri" w:cs="Calibri"/>
          </w:rPr>
          <w:t>https://www.cqc.org.uk/guidance-providers/notifications/death-person-using-service-notification-form</w:t>
        </w:r>
      </w:hyperlink>
      <w:r w:rsidR="009218F1" w:rsidRPr="0060679E">
        <w:rPr>
          <w:rFonts w:ascii="Calibri" w:hAnsi="Calibri" w:cs="Calibri"/>
        </w:rPr>
        <w:t xml:space="preserve"> </w:t>
      </w:r>
      <w:r w:rsidRPr="0060679E">
        <w:rPr>
          <w:rFonts w:ascii="Calibri" w:eastAsia="Times New Roman" w:hAnsi="Calibri" w:cs="Calibri"/>
          <w:lang w:eastAsia="en-GB"/>
        </w:rPr>
        <w:t xml:space="preserve">and shall immediately raise a Significant Event Reporting Form.  </w:t>
      </w:r>
    </w:p>
    <w:p w14:paraId="1E176D89" w14:textId="77777777" w:rsidR="00B2309F" w:rsidRPr="0060679E" w:rsidRDefault="00B2309F" w:rsidP="00B2309F">
      <w:pPr>
        <w:shd w:val="clear" w:color="auto" w:fill="FFFFFF"/>
        <w:spacing w:after="240" w:line="360" w:lineRule="atLeast"/>
        <w:textAlignment w:val="baseline"/>
        <w:rPr>
          <w:rFonts w:ascii="Calibri" w:eastAsia="Times New Roman" w:hAnsi="Calibri" w:cs="Calibri"/>
          <w:lang w:eastAsia="en-GB"/>
        </w:rPr>
      </w:pPr>
      <w:r w:rsidRPr="0060679E">
        <w:rPr>
          <w:rFonts w:ascii="Calibri" w:eastAsia="Times New Roman" w:hAnsi="Calibri" w:cs="Calibri"/>
          <w:lang w:eastAsia="en-GB"/>
        </w:rPr>
        <w:t xml:space="preserve">The healthcare professional should send the Significant Event Form and Death of a Service User Notification Form to the Castleman Healthcare Ltd. Administrator who will immediately contact the Governance Director who will begin investigations and offer support to the healthcare professional(s) affected. </w:t>
      </w:r>
    </w:p>
    <w:p w14:paraId="03D1D1A0" w14:textId="77777777" w:rsidR="00B2309F" w:rsidRPr="0060679E" w:rsidRDefault="00B2309F" w:rsidP="00B2309F">
      <w:pPr>
        <w:shd w:val="clear" w:color="auto" w:fill="FFFFFF"/>
        <w:spacing w:after="240" w:line="360" w:lineRule="atLeast"/>
        <w:textAlignment w:val="baseline"/>
        <w:rPr>
          <w:rFonts w:ascii="Calibri" w:eastAsia="Times New Roman" w:hAnsi="Calibri" w:cs="Calibri"/>
          <w:lang w:eastAsia="en-GB"/>
        </w:rPr>
      </w:pPr>
      <w:r w:rsidRPr="0060679E">
        <w:rPr>
          <w:rFonts w:ascii="Calibri" w:eastAsia="Times New Roman" w:hAnsi="Calibri" w:cs="Calibri"/>
          <w:lang w:eastAsia="en-GB"/>
        </w:rPr>
        <w:t xml:space="preserve">The Governance Director shall review the Significant Event Form and the Death of a Service User Notification Form and instruct the administrator to send the latter to the CQC via its portal. Any communication from CQC regarding this incident shall be monitored by the Administrator and passed back to the Governance Director who shall instigate any actions as required regarding changes to service delivery, patient safety, learning, review of policies and protocol etc. </w:t>
      </w:r>
    </w:p>
    <w:p w14:paraId="2363AB16" w14:textId="77777777" w:rsidR="00B2309F" w:rsidRPr="0060679E" w:rsidRDefault="00B2309F" w:rsidP="00B2309F">
      <w:pPr>
        <w:shd w:val="clear" w:color="auto" w:fill="FFFFFF"/>
        <w:spacing w:after="240" w:line="360" w:lineRule="atLeast"/>
        <w:textAlignment w:val="baseline"/>
        <w:rPr>
          <w:rFonts w:ascii="Calibri" w:eastAsia="Times New Roman" w:hAnsi="Calibri" w:cs="Calibri"/>
          <w:lang w:eastAsia="en-GB"/>
        </w:rPr>
      </w:pPr>
      <w:r w:rsidRPr="0060679E">
        <w:rPr>
          <w:rFonts w:ascii="Calibri" w:eastAsia="Times New Roman" w:hAnsi="Calibri" w:cs="Calibri"/>
          <w:lang w:eastAsia="en-GB"/>
        </w:rPr>
        <w:t xml:space="preserve">Meanwhile, a full investigation shall be undertaken by the Governance Director with regards to the Significant Event. </w:t>
      </w:r>
    </w:p>
    <w:p w14:paraId="41A73B2A" w14:textId="77777777" w:rsidR="00B2309F" w:rsidRPr="0060679E" w:rsidRDefault="00B2309F" w:rsidP="00B2309F">
      <w:pPr>
        <w:shd w:val="clear" w:color="auto" w:fill="FFFFFF"/>
        <w:spacing w:after="240" w:line="360" w:lineRule="atLeast"/>
        <w:textAlignment w:val="baseline"/>
        <w:rPr>
          <w:rFonts w:ascii="Calibri" w:eastAsia="Times New Roman" w:hAnsi="Calibri" w:cs="Calibri"/>
          <w:lang w:eastAsia="en-GB"/>
        </w:rPr>
      </w:pPr>
      <w:r w:rsidRPr="0060679E">
        <w:rPr>
          <w:rFonts w:ascii="Calibri" w:eastAsia="Times New Roman" w:hAnsi="Calibri" w:cs="Calibri"/>
          <w:lang w:eastAsia="en-GB"/>
        </w:rPr>
        <w:t xml:space="preserve">If the death is being formally investigated by the police, coroner, Health and Safety execute, local authority etc. the Governance Director shall liaise with each authority as required, putting any recommendations in place and/or aiding with investigations, with the input of the healthcare professional who raised the event. </w:t>
      </w:r>
    </w:p>
    <w:p w14:paraId="4795A1BC" w14:textId="77777777" w:rsidR="00B2309F" w:rsidRPr="0060679E" w:rsidRDefault="00B2309F" w:rsidP="00B2309F">
      <w:pPr>
        <w:shd w:val="clear" w:color="auto" w:fill="FFFFFF"/>
        <w:spacing w:after="240" w:line="360" w:lineRule="atLeast"/>
        <w:textAlignment w:val="baseline"/>
        <w:rPr>
          <w:rFonts w:ascii="Calibri" w:eastAsia="Times New Roman" w:hAnsi="Calibri" w:cs="Calibri"/>
          <w:lang w:eastAsia="en-GB"/>
        </w:rPr>
      </w:pPr>
      <w:r w:rsidRPr="0060679E">
        <w:rPr>
          <w:rFonts w:ascii="Calibri" w:eastAsia="Times New Roman" w:hAnsi="Calibri" w:cs="Calibri"/>
          <w:lang w:eastAsia="en-GB"/>
        </w:rPr>
        <w:t>The Governance Director shall also determine whether this event is notifiable under the Duty of Candour (Regulation 20 of the Regulated Activities, Regulations 2014) and if required inform the relevant persons of this death.</w:t>
      </w:r>
    </w:p>
    <w:p w14:paraId="526A7D37" w14:textId="77777777" w:rsidR="00B2309F" w:rsidRPr="0060679E" w:rsidRDefault="00B2309F" w:rsidP="00B2309F">
      <w:pPr>
        <w:shd w:val="clear" w:color="auto" w:fill="FFFFFF"/>
        <w:spacing w:after="240" w:line="360" w:lineRule="atLeast"/>
        <w:textAlignment w:val="baseline"/>
        <w:rPr>
          <w:rFonts w:ascii="Calibri" w:eastAsia="Times New Roman" w:hAnsi="Calibri" w:cs="Calibri"/>
          <w:lang w:eastAsia="en-GB"/>
        </w:rPr>
      </w:pPr>
      <w:r w:rsidRPr="0060679E">
        <w:rPr>
          <w:rFonts w:ascii="Calibri" w:eastAsia="Times New Roman" w:hAnsi="Calibri" w:cs="Calibri"/>
          <w:lang w:eastAsia="en-GB"/>
        </w:rPr>
        <w:t xml:space="preserve">The Governance Director shall be responsible for instigating a Significant Event feedback meeting, to fully discuss the death and to put in to place any learning, training, or change to services/policies to ensure all those who were involved in the incident get feedback at the earliest opportunity and that the service is fully reviewed to ensure its safety for all patients. </w:t>
      </w:r>
    </w:p>
    <w:p w14:paraId="5E55F2B9" w14:textId="77777777" w:rsidR="00B2309F" w:rsidRPr="009E7E21" w:rsidRDefault="00B2309F" w:rsidP="009E7E21">
      <w:pPr>
        <w:rPr>
          <w:rFonts w:ascii="Calibri" w:hAnsi="Calibri" w:cs="Calibri"/>
        </w:rPr>
      </w:pPr>
    </w:p>
    <w:sectPr w:rsidR="00B2309F" w:rsidRPr="009E7E21">
      <w:headerReference w:type="default" r:id="rId11"/>
      <w:footerReference w:type="defaul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45084" w14:textId="77777777" w:rsidR="00B77BBB" w:rsidRPr="009218F1" w:rsidRDefault="00B77BBB">
      <w:pPr>
        <w:spacing w:after="0" w:line="240" w:lineRule="auto"/>
      </w:pPr>
      <w:r w:rsidRPr="009218F1">
        <w:separator/>
      </w:r>
    </w:p>
  </w:endnote>
  <w:endnote w:type="continuationSeparator" w:id="0">
    <w:p w14:paraId="6056D302" w14:textId="77777777" w:rsidR="00B77BBB" w:rsidRPr="009218F1" w:rsidRDefault="00B77BBB">
      <w:pPr>
        <w:spacing w:after="0" w:line="240" w:lineRule="auto"/>
      </w:pPr>
      <w:r w:rsidRPr="009218F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2800796"/>
      <w:docPartObj>
        <w:docPartGallery w:val="Page Numbers (Bottom of Page)"/>
        <w:docPartUnique/>
      </w:docPartObj>
    </w:sdtPr>
    <w:sdtEndPr/>
    <w:sdtContent>
      <w:sdt>
        <w:sdtPr>
          <w:id w:val="1728636285"/>
          <w:docPartObj>
            <w:docPartGallery w:val="Page Numbers (Top of Page)"/>
            <w:docPartUnique/>
          </w:docPartObj>
        </w:sdtPr>
        <w:sdtEndPr/>
        <w:sdtContent>
          <w:p w14:paraId="39E8D933" w14:textId="308A6FA3" w:rsidR="00196599" w:rsidRPr="009218F1" w:rsidRDefault="00945B50">
            <w:pPr>
              <w:pStyle w:val="Footer"/>
              <w:jc w:val="center"/>
            </w:pPr>
            <w:r>
              <w:t>Death of Service User</w:t>
            </w:r>
            <w:r w:rsidR="00B564A6" w:rsidRPr="009218F1">
              <w:t xml:space="preserve"> Policy</w:t>
            </w:r>
            <w:r w:rsidR="009E0EE5" w:rsidRPr="009218F1">
              <w:t xml:space="preserve"> Sep 20</w:t>
            </w:r>
            <w:r w:rsidR="006A35B8" w:rsidRPr="009218F1">
              <w:t>2</w:t>
            </w:r>
            <w:r w:rsidR="0060679E">
              <w:t>3</w:t>
            </w:r>
            <w:r w:rsidR="009E0EE5" w:rsidRPr="009218F1">
              <w:t xml:space="preserve"> - Castleman Healthcare Ltd</w:t>
            </w:r>
            <w:r w:rsidR="00196599" w:rsidRPr="009218F1">
              <w:t xml:space="preserve"> - Page </w:t>
            </w:r>
            <w:r w:rsidR="00196599" w:rsidRPr="009218F1">
              <w:rPr>
                <w:b/>
                <w:bCs/>
                <w:sz w:val="24"/>
                <w:szCs w:val="24"/>
              </w:rPr>
              <w:fldChar w:fldCharType="begin"/>
            </w:r>
            <w:r w:rsidR="00196599" w:rsidRPr="009218F1">
              <w:rPr>
                <w:b/>
                <w:bCs/>
              </w:rPr>
              <w:instrText xml:space="preserve"> PAGE </w:instrText>
            </w:r>
            <w:r w:rsidR="00196599" w:rsidRPr="009218F1">
              <w:rPr>
                <w:b/>
                <w:bCs/>
                <w:sz w:val="24"/>
                <w:szCs w:val="24"/>
              </w:rPr>
              <w:fldChar w:fldCharType="separate"/>
            </w:r>
            <w:r w:rsidR="00B9651B" w:rsidRPr="009218F1">
              <w:rPr>
                <w:b/>
                <w:bCs/>
              </w:rPr>
              <w:t>3</w:t>
            </w:r>
            <w:r w:rsidR="00196599" w:rsidRPr="009218F1">
              <w:rPr>
                <w:b/>
                <w:bCs/>
                <w:sz w:val="24"/>
                <w:szCs w:val="24"/>
              </w:rPr>
              <w:fldChar w:fldCharType="end"/>
            </w:r>
            <w:r w:rsidR="00196599" w:rsidRPr="009218F1">
              <w:t xml:space="preserve"> of </w:t>
            </w:r>
            <w:r w:rsidR="00196599" w:rsidRPr="009218F1">
              <w:rPr>
                <w:b/>
                <w:bCs/>
                <w:sz w:val="24"/>
                <w:szCs w:val="24"/>
              </w:rPr>
              <w:fldChar w:fldCharType="begin"/>
            </w:r>
            <w:r w:rsidR="00196599" w:rsidRPr="009218F1">
              <w:rPr>
                <w:b/>
                <w:bCs/>
              </w:rPr>
              <w:instrText xml:space="preserve"> NUMPAGES  </w:instrText>
            </w:r>
            <w:r w:rsidR="00196599" w:rsidRPr="009218F1">
              <w:rPr>
                <w:b/>
                <w:bCs/>
                <w:sz w:val="24"/>
                <w:szCs w:val="24"/>
              </w:rPr>
              <w:fldChar w:fldCharType="separate"/>
            </w:r>
            <w:r w:rsidR="00B9651B" w:rsidRPr="009218F1">
              <w:rPr>
                <w:b/>
                <w:bCs/>
              </w:rPr>
              <w:t>3</w:t>
            </w:r>
            <w:r w:rsidR="00196599" w:rsidRPr="009218F1">
              <w:rPr>
                <w:b/>
                <w:bCs/>
                <w:sz w:val="24"/>
                <w:szCs w:val="24"/>
              </w:rPr>
              <w:fldChar w:fldCharType="end"/>
            </w:r>
          </w:p>
        </w:sdtContent>
      </w:sdt>
    </w:sdtContent>
  </w:sdt>
  <w:p w14:paraId="34E15098" w14:textId="77777777" w:rsidR="00196599" w:rsidRPr="009218F1" w:rsidRDefault="001965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1B829" w14:textId="77777777" w:rsidR="00B77BBB" w:rsidRPr="009218F1" w:rsidRDefault="00B77BBB">
      <w:pPr>
        <w:spacing w:after="0" w:line="240" w:lineRule="auto"/>
      </w:pPr>
      <w:r w:rsidRPr="009218F1">
        <w:separator/>
      </w:r>
    </w:p>
  </w:footnote>
  <w:footnote w:type="continuationSeparator" w:id="0">
    <w:p w14:paraId="6E0662C4" w14:textId="77777777" w:rsidR="00B77BBB" w:rsidRPr="009218F1" w:rsidRDefault="00B77BBB">
      <w:pPr>
        <w:spacing w:after="0" w:line="240" w:lineRule="auto"/>
      </w:pPr>
      <w:r w:rsidRPr="009218F1">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EEE31" w14:textId="6F91D28A" w:rsidR="00913992" w:rsidRPr="009218F1" w:rsidRDefault="00913992" w:rsidP="00913992">
    <w:pPr>
      <w:pStyle w:val="Header"/>
      <w:jc w:val="right"/>
    </w:pPr>
    <w:r w:rsidRPr="009218F1">
      <w:rPr>
        <w:noProof/>
      </w:rPr>
      <w:drawing>
        <wp:inline distT="0" distB="0" distL="0" distR="0" wp14:anchorId="4846EE5F" wp14:editId="64337E43">
          <wp:extent cx="3263798" cy="623271"/>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stleman_logo_col_2500px.png"/>
                  <pic:cNvPicPr/>
                </pic:nvPicPr>
                <pic:blipFill>
                  <a:blip r:embed="rId1">
                    <a:extLst>
                      <a:ext uri="{28A0092B-C50C-407E-A947-70E740481C1C}">
                        <a14:useLocalDpi xmlns:a14="http://schemas.microsoft.com/office/drawing/2010/main" val="0"/>
                      </a:ext>
                    </a:extLst>
                  </a:blip>
                  <a:stretch>
                    <a:fillRect/>
                  </a:stretch>
                </pic:blipFill>
                <pic:spPr>
                  <a:xfrm>
                    <a:off x="0" y="0"/>
                    <a:ext cx="3358620" cy="64137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17A5"/>
    <w:multiLevelType w:val="hybridMultilevel"/>
    <w:tmpl w:val="B8A2A1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11B13C5"/>
    <w:multiLevelType w:val="hybridMultilevel"/>
    <w:tmpl w:val="6180CA82"/>
    <w:lvl w:ilvl="0" w:tplc="08090019">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026A7B"/>
    <w:multiLevelType w:val="hybridMultilevel"/>
    <w:tmpl w:val="8320010C"/>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8E5B3D"/>
    <w:multiLevelType w:val="hybridMultilevel"/>
    <w:tmpl w:val="17185BC2"/>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6D6E72"/>
    <w:multiLevelType w:val="hybridMultilevel"/>
    <w:tmpl w:val="ABB60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FE7D4C"/>
    <w:multiLevelType w:val="hybridMultilevel"/>
    <w:tmpl w:val="2DDEE5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142FA6"/>
    <w:multiLevelType w:val="multilevel"/>
    <w:tmpl w:val="79262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880E14"/>
    <w:multiLevelType w:val="hybridMultilevel"/>
    <w:tmpl w:val="7DB87E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C05C3D"/>
    <w:multiLevelType w:val="hybridMultilevel"/>
    <w:tmpl w:val="CD360D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EE86804"/>
    <w:multiLevelType w:val="hybridMultilevel"/>
    <w:tmpl w:val="54B2B84C"/>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F467295"/>
    <w:multiLevelType w:val="hybridMultilevel"/>
    <w:tmpl w:val="38F8CF16"/>
    <w:lvl w:ilvl="0" w:tplc="0809000F">
      <w:start w:val="1"/>
      <w:numFmt w:val="decimal"/>
      <w:lvlText w:val="%1."/>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707291"/>
    <w:multiLevelType w:val="hybridMultilevel"/>
    <w:tmpl w:val="07FA488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764635F"/>
    <w:multiLevelType w:val="hybridMultilevel"/>
    <w:tmpl w:val="1FFA3F8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A027FA"/>
    <w:multiLevelType w:val="hybridMultilevel"/>
    <w:tmpl w:val="D1F05A40"/>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E56AF0"/>
    <w:multiLevelType w:val="hybridMultilevel"/>
    <w:tmpl w:val="12AC8D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B0F2143"/>
    <w:multiLevelType w:val="hybridMultilevel"/>
    <w:tmpl w:val="8CDA23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D73558E"/>
    <w:multiLevelType w:val="hybridMultilevel"/>
    <w:tmpl w:val="06403C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EC03654"/>
    <w:multiLevelType w:val="hybridMultilevel"/>
    <w:tmpl w:val="FE605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911C50"/>
    <w:multiLevelType w:val="hybridMultilevel"/>
    <w:tmpl w:val="D60409BC"/>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2E70445"/>
    <w:multiLevelType w:val="hybridMultilevel"/>
    <w:tmpl w:val="6D921A9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3A547A8B"/>
    <w:multiLevelType w:val="hybridMultilevel"/>
    <w:tmpl w:val="E990D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A61CD7"/>
    <w:multiLevelType w:val="hybridMultilevel"/>
    <w:tmpl w:val="5F56D9A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01D5B4B"/>
    <w:multiLevelType w:val="hybridMultilevel"/>
    <w:tmpl w:val="7E921644"/>
    <w:lvl w:ilvl="0" w:tplc="13D8ADB4">
      <w:start w:val="8"/>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4" w15:restartNumberingAfterBreak="0">
    <w:nsid w:val="402A5E4A"/>
    <w:multiLevelType w:val="hybridMultilevel"/>
    <w:tmpl w:val="20AA9008"/>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8C61729"/>
    <w:multiLevelType w:val="hybridMultilevel"/>
    <w:tmpl w:val="81D657EA"/>
    <w:lvl w:ilvl="0" w:tplc="0809000B">
      <w:start w:val="1"/>
      <w:numFmt w:val="bullet"/>
      <w:lvlText w:val=""/>
      <w:lvlJc w:val="left"/>
      <w:pPr>
        <w:ind w:left="765" w:hanging="360"/>
      </w:pPr>
      <w:rPr>
        <w:rFonts w:ascii="Wingdings" w:hAnsi="Wingding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6" w15:restartNumberingAfterBreak="0">
    <w:nsid w:val="4A0B47A3"/>
    <w:multiLevelType w:val="hybridMultilevel"/>
    <w:tmpl w:val="0BBA1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582056"/>
    <w:multiLevelType w:val="hybridMultilevel"/>
    <w:tmpl w:val="671626D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CB876F4"/>
    <w:multiLevelType w:val="hybridMultilevel"/>
    <w:tmpl w:val="A49098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F5D56F7"/>
    <w:multiLevelType w:val="hybridMultilevel"/>
    <w:tmpl w:val="281AF3F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1CB2166"/>
    <w:multiLevelType w:val="hybridMultilevel"/>
    <w:tmpl w:val="04D23CDE"/>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1200F7"/>
    <w:multiLevelType w:val="hybridMultilevel"/>
    <w:tmpl w:val="6512EE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562620"/>
    <w:multiLevelType w:val="hybridMultilevel"/>
    <w:tmpl w:val="195C23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73E2C03"/>
    <w:multiLevelType w:val="hybridMultilevel"/>
    <w:tmpl w:val="4AB46D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B756735"/>
    <w:multiLevelType w:val="hybridMultilevel"/>
    <w:tmpl w:val="2E421C0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5B8410B5"/>
    <w:multiLevelType w:val="multilevel"/>
    <w:tmpl w:val="336C4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E2F6E0C"/>
    <w:multiLevelType w:val="hybridMultilevel"/>
    <w:tmpl w:val="07FA488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66784EDC"/>
    <w:multiLevelType w:val="hybridMultilevel"/>
    <w:tmpl w:val="4112D4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79178B7"/>
    <w:multiLevelType w:val="hybridMultilevel"/>
    <w:tmpl w:val="AA2024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8FD0048"/>
    <w:multiLevelType w:val="hybridMultilevel"/>
    <w:tmpl w:val="D79297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A201E1E"/>
    <w:multiLevelType w:val="hybridMultilevel"/>
    <w:tmpl w:val="1806DC3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F4F7599"/>
    <w:multiLevelType w:val="hybridMultilevel"/>
    <w:tmpl w:val="07FA488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700549D1"/>
    <w:multiLevelType w:val="hybridMultilevel"/>
    <w:tmpl w:val="261AFE0E"/>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715C1CAB"/>
    <w:multiLevelType w:val="hybridMultilevel"/>
    <w:tmpl w:val="F9C47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3FD0FA5"/>
    <w:multiLevelType w:val="hybridMultilevel"/>
    <w:tmpl w:val="9AA8C6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60E58C2"/>
    <w:multiLevelType w:val="hybridMultilevel"/>
    <w:tmpl w:val="BE0C7FB6"/>
    <w:lvl w:ilvl="0" w:tplc="8346AAF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74945820">
    <w:abstractNumId w:val="34"/>
  </w:num>
  <w:num w:numId="2" w16cid:durableId="1136407452">
    <w:abstractNumId w:val="8"/>
  </w:num>
  <w:num w:numId="3" w16cid:durableId="968048477">
    <w:abstractNumId w:val="33"/>
  </w:num>
  <w:num w:numId="4" w16cid:durableId="1712339918">
    <w:abstractNumId w:val="41"/>
  </w:num>
  <w:num w:numId="5" w16cid:durableId="945043729">
    <w:abstractNumId w:val="15"/>
  </w:num>
  <w:num w:numId="6" w16cid:durableId="1727993599">
    <w:abstractNumId w:val="0"/>
  </w:num>
  <w:num w:numId="7" w16cid:durableId="1592621203">
    <w:abstractNumId w:val="45"/>
  </w:num>
  <w:num w:numId="8" w16cid:durableId="1172641835">
    <w:abstractNumId w:val="2"/>
  </w:num>
  <w:num w:numId="9" w16cid:durableId="1081826684">
    <w:abstractNumId w:val="23"/>
  </w:num>
  <w:num w:numId="10" w16cid:durableId="19865053">
    <w:abstractNumId w:val="26"/>
  </w:num>
  <w:num w:numId="11" w16cid:durableId="81876607">
    <w:abstractNumId w:val="22"/>
  </w:num>
  <w:num w:numId="12" w16cid:durableId="587664210">
    <w:abstractNumId w:val="7"/>
  </w:num>
  <w:num w:numId="13" w16cid:durableId="1712924702">
    <w:abstractNumId w:val="17"/>
  </w:num>
  <w:num w:numId="14" w16cid:durableId="1540508311">
    <w:abstractNumId w:val="13"/>
  </w:num>
  <w:num w:numId="15" w16cid:durableId="69428246">
    <w:abstractNumId w:val="19"/>
  </w:num>
  <w:num w:numId="16" w16cid:durableId="738402638">
    <w:abstractNumId w:val="27"/>
  </w:num>
  <w:num w:numId="17" w16cid:durableId="2020888589">
    <w:abstractNumId w:val="25"/>
  </w:num>
  <w:num w:numId="18" w16cid:durableId="1333022882">
    <w:abstractNumId w:val="10"/>
  </w:num>
  <w:num w:numId="19" w16cid:durableId="1490293305">
    <w:abstractNumId w:val="14"/>
  </w:num>
  <w:num w:numId="20" w16cid:durableId="592083934">
    <w:abstractNumId w:val="39"/>
  </w:num>
  <w:num w:numId="21" w16cid:durableId="554895350">
    <w:abstractNumId w:val="16"/>
  </w:num>
  <w:num w:numId="22" w16cid:durableId="462306076">
    <w:abstractNumId w:val="35"/>
  </w:num>
  <w:num w:numId="23" w16cid:durableId="1081025632">
    <w:abstractNumId w:val="18"/>
  </w:num>
  <w:num w:numId="24" w16cid:durableId="229535038">
    <w:abstractNumId w:val="32"/>
  </w:num>
  <w:num w:numId="25" w16cid:durableId="109712078">
    <w:abstractNumId w:val="44"/>
  </w:num>
  <w:num w:numId="26" w16cid:durableId="1534225311">
    <w:abstractNumId w:val="36"/>
  </w:num>
  <w:num w:numId="27" w16cid:durableId="1361004021">
    <w:abstractNumId w:val="5"/>
  </w:num>
  <w:num w:numId="28" w16cid:durableId="170294195">
    <w:abstractNumId w:val="20"/>
  </w:num>
  <w:num w:numId="29" w16cid:durableId="1114445348">
    <w:abstractNumId w:val="31"/>
  </w:num>
  <w:num w:numId="30" w16cid:durableId="1654992496">
    <w:abstractNumId w:val="47"/>
  </w:num>
  <w:num w:numId="31" w16cid:durableId="1991859721">
    <w:abstractNumId w:val="28"/>
  </w:num>
  <w:num w:numId="32" w16cid:durableId="693850514">
    <w:abstractNumId w:val="40"/>
  </w:num>
  <w:num w:numId="33" w16cid:durableId="1694115669">
    <w:abstractNumId w:val="46"/>
  </w:num>
  <w:num w:numId="34" w16cid:durableId="1609580630">
    <w:abstractNumId w:val="1"/>
  </w:num>
  <w:num w:numId="35" w16cid:durableId="1219516832">
    <w:abstractNumId w:val="11"/>
  </w:num>
  <w:num w:numId="36" w16cid:durableId="2103185737">
    <w:abstractNumId w:val="21"/>
  </w:num>
  <w:num w:numId="37" w16cid:durableId="712922907">
    <w:abstractNumId w:val="9"/>
  </w:num>
  <w:num w:numId="38" w16cid:durableId="1329022872">
    <w:abstractNumId w:val="4"/>
  </w:num>
  <w:num w:numId="39" w16cid:durableId="856844479">
    <w:abstractNumId w:val="42"/>
  </w:num>
  <w:num w:numId="40" w16cid:durableId="1525704550">
    <w:abstractNumId w:val="30"/>
  </w:num>
  <w:num w:numId="41" w16cid:durableId="2029404685">
    <w:abstractNumId w:val="3"/>
  </w:num>
  <w:num w:numId="42" w16cid:durableId="2135253209">
    <w:abstractNumId w:val="24"/>
  </w:num>
  <w:num w:numId="43" w16cid:durableId="1418018290">
    <w:abstractNumId w:val="12"/>
  </w:num>
  <w:num w:numId="44" w16cid:durableId="282689186">
    <w:abstractNumId w:val="38"/>
  </w:num>
  <w:num w:numId="45" w16cid:durableId="1628512706">
    <w:abstractNumId w:val="43"/>
  </w:num>
  <w:num w:numId="46" w16cid:durableId="429860242">
    <w:abstractNumId w:val="29"/>
  </w:num>
  <w:num w:numId="47" w16cid:durableId="511574217">
    <w:abstractNumId w:val="37"/>
  </w:num>
  <w:num w:numId="48" w16cid:durableId="105388847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1D4"/>
    <w:rsid w:val="000B5D00"/>
    <w:rsid w:val="00196599"/>
    <w:rsid w:val="001D7BDE"/>
    <w:rsid w:val="002A7541"/>
    <w:rsid w:val="002D2613"/>
    <w:rsid w:val="004C6DE2"/>
    <w:rsid w:val="005079B5"/>
    <w:rsid w:val="00574728"/>
    <w:rsid w:val="0060679E"/>
    <w:rsid w:val="006A35B8"/>
    <w:rsid w:val="006C0EA0"/>
    <w:rsid w:val="007746D6"/>
    <w:rsid w:val="00810A53"/>
    <w:rsid w:val="009020EB"/>
    <w:rsid w:val="00913992"/>
    <w:rsid w:val="009218F1"/>
    <w:rsid w:val="00945B50"/>
    <w:rsid w:val="009D14A5"/>
    <w:rsid w:val="009E0EE5"/>
    <w:rsid w:val="009E7E21"/>
    <w:rsid w:val="00A40178"/>
    <w:rsid w:val="00A93F6D"/>
    <w:rsid w:val="00AC41D4"/>
    <w:rsid w:val="00AE2A7A"/>
    <w:rsid w:val="00B2309F"/>
    <w:rsid w:val="00B5128E"/>
    <w:rsid w:val="00B564A6"/>
    <w:rsid w:val="00B77BBB"/>
    <w:rsid w:val="00B9651B"/>
    <w:rsid w:val="00C15FAF"/>
    <w:rsid w:val="00C5427D"/>
    <w:rsid w:val="00CC1D6D"/>
    <w:rsid w:val="00D171DB"/>
    <w:rsid w:val="00D84374"/>
    <w:rsid w:val="00DB6A74"/>
    <w:rsid w:val="00F674AB"/>
    <w:rsid w:val="00FD6CDF"/>
    <w:rsid w:val="3812A8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75BF933"/>
  <w15:docId w15:val="{897B08F1-B8DF-4CC5-B125-17ED3FE34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pPr>
      <w:pBdr>
        <w:top w:val="single" w:sz="24" w:space="0" w:color="099BDD" w:themeColor="text2"/>
        <w:left w:val="single" w:sz="24" w:space="0" w:color="099BDD" w:themeColor="text2"/>
        <w:bottom w:val="single" w:sz="24" w:space="0" w:color="099BDD" w:themeColor="text2"/>
        <w:right w:val="single" w:sz="24" w:space="0" w:color="099BDD" w:themeColor="text2"/>
      </w:pBdr>
      <w:shd w:val="clear" w:color="auto" w:fill="099BDD" w:themeFill="text2"/>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pPr>
      <w:spacing w:before="200" w:after="0"/>
      <w:outlineLvl w:val="7"/>
    </w:pPr>
    <w:rPr>
      <w:rFonts w:asciiTheme="majorHAnsi" w:eastAsiaTheme="majorEastAsia" w:hAnsiTheme="majorHAnsi" w:cstheme="majorBidi"/>
      <w:caps/>
      <w:spacing w:val="10"/>
      <w:sz w:val="18"/>
      <w:szCs w:val="18"/>
    </w:rPr>
  </w:style>
  <w:style w:type="paragraph" w:styleId="Heading9">
    <w:name w:val="heading 9"/>
    <w:basedOn w:val="Normal"/>
    <w:next w:val="Normal"/>
    <w:link w:val="Heading9Char"/>
    <w:uiPriority w:val="9"/>
    <w:semiHidden/>
    <w:unhideWhenUsed/>
    <w:qFormat/>
    <w:pPr>
      <w:spacing w:before="200" w:after="0"/>
      <w:outlineLvl w:val="8"/>
    </w:pPr>
    <w:rPr>
      <w:rFonts w:asciiTheme="majorHAnsi" w:eastAsiaTheme="majorEastAsia" w:hAnsiTheme="majorHAnsi" w:cstheme="majorBidi"/>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FFFFFF" w:themeColor="background1"/>
      <w:spacing w:val="15"/>
      <w:shd w:val="clear" w:color="auto" w:fill="099BDD" w:themeFill="text2"/>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next w:val="Normal"/>
    <w:link w:val="TitleChar"/>
    <w:uiPriority w:val="10"/>
    <w:qFormat/>
    <w:pPr>
      <w:spacing w:before="0" w:after="0"/>
    </w:pPr>
    <w:rPr>
      <w:rFonts w:asciiTheme="majorHAnsi" w:eastAsiaTheme="majorEastAsia" w:hAnsiTheme="majorHAnsi" w:cstheme="majorBidi"/>
      <w:caps/>
      <w:color w:val="099BDD" w:themeColor="text2"/>
      <w:spacing w:val="10"/>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aps/>
      <w:color w:val="099BDD" w:themeColor="text2"/>
      <w:spacing w:val="10"/>
      <w:sz w:val="52"/>
      <w:szCs w:val="52"/>
    </w:rPr>
  </w:style>
  <w:style w:type="paragraph" w:styleId="Subtitle">
    <w:name w:val="Subtitle"/>
    <w:basedOn w:val="Normal"/>
    <w:next w:val="Normal"/>
    <w:link w:val="SubtitleChar"/>
    <w:uiPriority w:val="11"/>
    <w:qFormat/>
    <w:pPr>
      <w:spacing w:before="0" w:after="500" w:line="240" w:lineRule="auto"/>
    </w:pPr>
    <w:rPr>
      <w:caps/>
      <w:color w:val="757575" w:themeColor="text1" w:themeTint="A6"/>
      <w:spacing w:val="10"/>
      <w:sz w:val="21"/>
      <w:szCs w:val="21"/>
    </w:rPr>
  </w:style>
  <w:style w:type="character" w:customStyle="1" w:styleId="SubtitleChar">
    <w:name w:val="Subtitle Char"/>
    <w:basedOn w:val="DefaultParagraphFont"/>
    <w:link w:val="Subtitle"/>
    <w:uiPriority w:val="11"/>
    <w:rPr>
      <w:caps/>
      <w:color w:val="757575" w:themeColor="text1" w:themeTint="A6"/>
      <w:spacing w:val="10"/>
      <w:sz w:val="21"/>
      <w:szCs w:val="21"/>
    </w:rPr>
  </w:style>
  <w:style w:type="paragraph" w:styleId="ListParagraph">
    <w:name w:val="List Paragraph"/>
    <w:basedOn w:val="Normal"/>
    <w:uiPriority w:val="34"/>
    <w:qFormat/>
    <w:pPr>
      <w:ind w:left="720"/>
      <w:contextualSpacing/>
    </w:pPr>
  </w:style>
  <w:style w:type="character" w:styleId="SubtleReference">
    <w:name w:val="Subtle Reference"/>
    <w:uiPriority w:val="31"/>
    <w:qFormat/>
    <w:rPr>
      <w:b w:val="0"/>
      <w:bCs w:val="0"/>
      <w:color w:val="099BDD" w:themeColor="text2"/>
    </w:rPr>
  </w:style>
  <w:style w:type="character" w:styleId="SubtleEmphasis">
    <w:name w:val="Subtle Emphasis"/>
    <w:uiPriority w:val="19"/>
    <w:qFormat/>
    <w:rPr>
      <w:i/>
      <w:iCs/>
      <w:color w:val="044D6E" w:themeColor="text2" w:themeShade="80"/>
    </w:rPr>
  </w:style>
  <w:style w:type="character" w:styleId="Emphasis">
    <w:name w:val="Emphasis"/>
    <w:uiPriority w:val="20"/>
    <w:qFormat/>
    <w:rPr>
      <w:caps/>
      <w:color w:val="auto"/>
      <w:spacing w:val="5"/>
    </w:rPr>
  </w:style>
  <w:style w:type="paragraph" w:styleId="Quote">
    <w:name w:val="Quote"/>
    <w:basedOn w:val="Normal"/>
    <w:next w:val="Normal"/>
    <w:link w:val="QuoteChar"/>
    <w:uiPriority w:val="29"/>
    <w:qFormat/>
    <w:pPr>
      <w:ind w:left="1080" w:right="1080"/>
      <w:jc w:val="center"/>
    </w:pPr>
    <w:rPr>
      <w:i/>
      <w:iCs/>
      <w:sz w:val="24"/>
      <w:szCs w:val="24"/>
    </w:rPr>
  </w:style>
  <w:style w:type="character" w:customStyle="1" w:styleId="QuoteChar">
    <w:name w:val="Quote Char"/>
    <w:basedOn w:val="DefaultParagraphFont"/>
    <w:link w:val="Quote"/>
    <w:uiPriority w:val="29"/>
    <w:rPr>
      <w:i/>
      <w:iCs/>
      <w:sz w:val="24"/>
      <w:szCs w:val="24"/>
    </w:rPr>
  </w:style>
  <w:style w:type="character" w:styleId="IntenseEmphasis">
    <w:name w:val="Intense Emphasis"/>
    <w:uiPriority w:val="21"/>
    <w:qFormat/>
    <w:rPr>
      <w:b/>
      <w:bCs/>
      <w:caps/>
      <w:color w:val="044D6E" w:themeColor="text2" w:themeShade="80"/>
      <w:spacing w:val="10"/>
    </w:rPr>
  </w:style>
  <w:style w:type="paragraph" w:styleId="IntenseQuote">
    <w:name w:val="Intense Quote"/>
    <w:basedOn w:val="Normal"/>
    <w:next w:val="Normal"/>
    <w:link w:val="IntenseQuoteChar"/>
    <w:uiPriority w:val="30"/>
    <w:qFormat/>
    <w:pPr>
      <w:spacing w:before="240" w:after="240" w:line="240" w:lineRule="auto"/>
      <w:ind w:left="1080" w:right="1080"/>
      <w:jc w:val="center"/>
    </w:pPr>
    <w:rPr>
      <w:color w:val="099BDD" w:themeColor="text2"/>
      <w:sz w:val="24"/>
      <w:szCs w:val="24"/>
    </w:rPr>
  </w:style>
  <w:style w:type="character" w:customStyle="1" w:styleId="IntenseQuoteChar">
    <w:name w:val="Intense Quote Char"/>
    <w:basedOn w:val="DefaultParagraphFont"/>
    <w:link w:val="IntenseQuote"/>
    <w:uiPriority w:val="30"/>
    <w:rPr>
      <w:color w:val="099BDD" w:themeColor="text2"/>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rPr>
      <w:rFonts w:asciiTheme="majorHAnsi" w:eastAsiaTheme="majorEastAsia" w:hAnsiTheme="majorHAnsi" w:cstheme="majorBidi"/>
      <w:caps/>
      <w:spacing w:val="10"/>
      <w:sz w:val="18"/>
      <w:szCs w:val="18"/>
    </w:rPr>
  </w:style>
  <w:style w:type="character" w:customStyle="1" w:styleId="Heading9Char">
    <w:name w:val="Heading 9 Char"/>
    <w:basedOn w:val="DefaultParagraphFont"/>
    <w:link w:val="Heading9"/>
    <w:uiPriority w:val="9"/>
    <w:rPr>
      <w:rFonts w:asciiTheme="majorHAnsi" w:eastAsiaTheme="majorEastAsia" w:hAnsiTheme="majorHAnsi" w:cstheme="majorBidi"/>
      <w:i/>
      <w:iCs/>
      <w:caps/>
      <w:spacing w:val="10"/>
      <w:sz w:val="18"/>
      <w:szCs w:val="18"/>
    </w:rPr>
  </w:style>
  <w:style w:type="paragraph" w:styleId="NoSpacing">
    <w:name w:val="No Spacing"/>
    <w:link w:val="NoSpacingChar"/>
    <w:uiPriority w:val="1"/>
    <w:qFormat/>
    <w:pPr>
      <w:spacing w:after="0" w:line="240" w:lineRule="auto"/>
    </w:pPr>
  </w:style>
  <w:style w:type="character" w:styleId="BookTitle">
    <w:name w:val="Book Title"/>
    <w:uiPriority w:val="33"/>
    <w:qFormat/>
    <w:rPr>
      <w:b/>
      <w:bCs/>
      <w:i/>
      <w:iCs/>
      <w:spacing w:val="0"/>
    </w:rPr>
  </w:style>
  <w:style w:type="paragraph" w:styleId="Caption">
    <w:name w:val="caption"/>
    <w:basedOn w:val="Normal"/>
    <w:next w:val="Normal"/>
    <w:uiPriority w:val="35"/>
    <w:semiHidden/>
    <w:unhideWhenUsed/>
    <w:qFormat/>
    <w:rPr>
      <w:b/>
      <w:bCs/>
      <w:color w:val="0673A5" w:themeColor="text2" w:themeShade="BF"/>
      <w:sz w:val="16"/>
      <w:szCs w:val="16"/>
    </w:rPr>
  </w:style>
  <w:style w:type="character" w:styleId="IntenseReference">
    <w:name w:val="Intense Reference"/>
    <w:uiPriority w:val="32"/>
    <w:qFormat/>
    <w:rPr>
      <w:b w:val="0"/>
      <w:bCs w:val="0"/>
      <w:i/>
      <w:iCs/>
      <w:caps/>
      <w:color w:val="099BDD" w:themeColor="text2"/>
    </w:rPr>
  </w:style>
  <w:style w:type="character" w:customStyle="1" w:styleId="NoSpacingChar">
    <w:name w:val="No Spacing Char"/>
    <w:basedOn w:val="DefaultParagraphFont"/>
    <w:link w:val="NoSpacing"/>
    <w:uiPriority w:val="1"/>
  </w:style>
  <w:style w:type="character" w:styleId="Strong">
    <w:name w:val="Strong"/>
    <w:uiPriority w:val="22"/>
    <w:qFormat/>
    <w:rPr>
      <w:b/>
      <w:bCs/>
    </w:rPr>
  </w:style>
  <w:style w:type="paragraph" w:styleId="TOCHeading">
    <w:name w:val="TOC Heading"/>
    <w:basedOn w:val="Heading1"/>
    <w:next w:val="Normal"/>
    <w:uiPriority w:val="39"/>
    <w:semiHidden/>
    <w:unhideWhenUsed/>
    <w:qFormat/>
    <w:pPr>
      <w:outlineLvl w:val="9"/>
    </w:pPr>
  </w:style>
  <w:style w:type="paragraph" w:styleId="Header">
    <w:name w:val="header"/>
    <w:basedOn w:val="Normal"/>
    <w:link w:val="HeaderChar"/>
    <w:uiPriority w:val="99"/>
    <w:unhideWhenUsed/>
    <w:rsid w:val="00A40178"/>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A40178"/>
  </w:style>
  <w:style w:type="paragraph" w:styleId="Footer">
    <w:name w:val="footer"/>
    <w:basedOn w:val="Normal"/>
    <w:link w:val="FooterChar"/>
    <w:unhideWhenUsed/>
    <w:rsid w:val="00A40178"/>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A40178"/>
  </w:style>
  <w:style w:type="character" w:styleId="Hyperlink">
    <w:name w:val="Hyperlink"/>
    <w:uiPriority w:val="99"/>
    <w:rsid w:val="006C0EA0"/>
    <w:rPr>
      <w:color w:val="0000FF"/>
      <w:u w:val="single"/>
    </w:rPr>
  </w:style>
  <w:style w:type="paragraph" w:styleId="BodyTextIndent3">
    <w:name w:val="Body Text Indent 3"/>
    <w:basedOn w:val="Normal"/>
    <w:link w:val="BodyTextIndent3Char"/>
    <w:rsid w:val="00196599"/>
    <w:pPr>
      <w:spacing w:before="0" w:after="0" w:line="240" w:lineRule="auto"/>
      <w:ind w:left="1440" w:hanging="722"/>
      <w:jc w:val="both"/>
    </w:pPr>
    <w:rPr>
      <w:rFonts w:ascii="Times" w:eastAsia="Times" w:hAnsi="Times" w:cs="Times New Roman"/>
      <w:sz w:val="24"/>
      <w:szCs w:val="20"/>
      <w:lang w:eastAsia="en-US"/>
    </w:rPr>
  </w:style>
  <w:style w:type="character" w:customStyle="1" w:styleId="BodyTextIndent3Char">
    <w:name w:val="Body Text Indent 3 Char"/>
    <w:basedOn w:val="DefaultParagraphFont"/>
    <w:link w:val="BodyTextIndent3"/>
    <w:rsid w:val="00196599"/>
    <w:rPr>
      <w:rFonts w:ascii="Times" w:eastAsia="Times" w:hAnsi="Times" w:cs="Times New Roman"/>
      <w:sz w:val="24"/>
      <w:szCs w:val="20"/>
      <w:lang w:val="en-GB" w:eastAsia="en-US"/>
    </w:rPr>
  </w:style>
  <w:style w:type="paragraph" w:styleId="FootnoteText">
    <w:name w:val="footnote text"/>
    <w:basedOn w:val="Normal"/>
    <w:link w:val="FootnoteTextChar"/>
    <w:semiHidden/>
    <w:rsid w:val="00196599"/>
    <w:pPr>
      <w:spacing w:before="0"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196599"/>
    <w:rPr>
      <w:rFonts w:ascii="Times New Roman" w:eastAsia="Times New Roman" w:hAnsi="Times New Roman" w:cs="Times New Roman"/>
      <w:sz w:val="20"/>
      <w:szCs w:val="20"/>
      <w:lang w:val="en-GB" w:eastAsia="en-US"/>
    </w:rPr>
  </w:style>
  <w:style w:type="character" w:styleId="FootnoteReference">
    <w:name w:val="footnote reference"/>
    <w:semiHidden/>
    <w:rsid w:val="00196599"/>
    <w:rPr>
      <w:vertAlign w:val="superscript"/>
    </w:rPr>
  </w:style>
  <w:style w:type="character" w:styleId="FollowedHyperlink">
    <w:name w:val="FollowedHyperlink"/>
    <w:basedOn w:val="DefaultParagraphFont"/>
    <w:uiPriority w:val="99"/>
    <w:semiHidden/>
    <w:unhideWhenUsed/>
    <w:rsid w:val="009E7E21"/>
    <w:rPr>
      <w:color w:val="6C606A" w:themeColor="followedHyperlink"/>
      <w:u w:val="single"/>
    </w:rPr>
  </w:style>
  <w:style w:type="paragraph" w:customStyle="1" w:styleId="Default">
    <w:name w:val="Default"/>
    <w:rsid w:val="00B2309F"/>
    <w:pPr>
      <w:autoSpaceDE w:val="0"/>
      <w:autoSpaceDN w:val="0"/>
      <w:adjustRightInd w:val="0"/>
      <w:spacing w:before="0" w:after="0" w:line="240" w:lineRule="auto"/>
    </w:pPr>
    <w:rPr>
      <w:rFonts w:ascii="Arial" w:eastAsiaTheme="minorHAnsi" w:hAnsi="Arial" w:cs="Arial"/>
      <w:color w:val="000000"/>
      <w:sz w:val="24"/>
      <w:szCs w:val="24"/>
      <w:lang w:val="en-GB" w:eastAsia="en-US"/>
    </w:rPr>
  </w:style>
  <w:style w:type="character" w:styleId="CommentReference">
    <w:name w:val="annotation reference"/>
    <w:basedOn w:val="DefaultParagraphFont"/>
    <w:uiPriority w:val="99"/>
    <w:semiHidden/>
    <w:unhideWhenUsed/>
    <w:rsid w:val="00B2309F"/>
    <w:rPr>
      <w:sz w:val="16"/>
      <w:szCs w:val="16"/>
    </w:rPr>
  </w:style>
  <w:style w:type="paragraph" w:styleId="CommentText">
    <w:name w:val="annotation text"/>
    <w:basedOn w:val="Normal"/>
    <w:link w:val="CommentTextChar"/>
    <w:uiPriority w:val="99"/>
    <w:semiHidden/>
    <w:unhideWhenUsed/>
    <w:rsid w:val="00B2309F"/>
    <w:pPr>
      <w:spacing w:before="0" w:after="160" w:line="240" w:lineRule="auto"/>
    </w:pPr>
    <w:rPr>
      <w:rFonts w:eastAsiaTheme="minorHAnsi"/>
      <w:sz w:val="20"/>
      <w:szCs w:val="20"/>
      <w:lang w:eastAsia="en-US"/>
    </w:rPr>
  </w:style>
  <w:style w:type="character" w:customStyle="1" w:styleId="CommentTextChar">
    <w:name w:val="Comment Text Char"/>
    <w:basedOn w:val="DefaultParagraphFont"/>
    <w:link w:val="CommentText"/>
    <w:uiPriority w:val="99"/>
    <w:semiHidden/>
    <w:rsid w:val="00B2309F"/>
    <w:rPr>
      <w:rFonts w:eastAsiaTheme="minorHAnsi"/>
      <w:sz w:val="20"/>
      <w:szCs w:val="20"/>
      <w:lang w:val="en-GB" w:eastAsia="en-US"/>
    </w:rPr>
  </w:style>
  <w:style w:type="paragraph" w:styleId="BalloonText">
    <w:name w:val="Balloon Text"/>
    <w:basedOn w:val="Normal"/>
    <w:link w:val="BalloonTextChar"/>
    <w:uiPriority w:val="99"/>
    <w:semiHidden/>
    <w:unhideWhenUsed/>
    <w:rsid w:val="00B2309F"/>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309F"/>
    <w:rPr>
      <w:rFonts w:ascii="Segoe UI" w:hAnsi="Segoe UI" w:cs="Segoe UI"/>
      <w:sz w:val="18"/>
      <w:szCs w:val="18"/>
    </w:rPr>
  </w:style>
  <w:style w:type="character" w:styleId="UnresolvedMention">
    <w:name w:val="Unresolved Mention"/>
    <w:basedOn w:val="DefaultParagraphFont"/>
    <w:uiPriority w:val="99"/>
    <w:semiHidden/>
    <w:unhideWhenUsed/>
    <w:rsid w:val="009218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cqc.org.uk/guidance-providers/notifications/death-person-using-service-notification-form" TargetMode="External"/><Relationship Id="rId4" Type="http://schemas.openxmlformats.org/officeDocument/2006/relationships/styles" Target="styles.xml"/><Relationship Id="rId9" Type="http://schemas.openxmlformats.org/officeDocument/2006/relationships/hyperlink" Target="http://www.legislation.gov.uk/ukpga/2008/14/content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ona\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2.xml><?xml version="1.0" encoding="utf-8"?>
<ds:datastoreItem xmlns:ds="http://schemas.openxmlformats.org/officeDocument/2006/customXml" ds:itemID="{FF9402DA-5107-4B46-8D2D-9EF5EA814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(blank).dotx</Template>
  <TotalTime>5</TotalTime>
  <Pages>3</Pages>
  <Words>715</Words>
  <Characters>4078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dc:creator>
  <cp:lastModifiedBy>Rebecca Green (Canford Heath Group Practice)</cp:lastModifiedBy>
  <cp:revision>5</cp:revision>
  <dcterms:created xsi:type="dcterms:W3CDTF">2023-09-24T14:41:00Z</dcterms:created>
  <dcterms:modified xsi:type="dcterms:W3CDTF">2023-09-27T14:59:00Z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TC037499679991</vt:lpwstr>
  </property>
</Properties>
</file>