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3A3D" w14:textId="7C8CB6B4" w:rsidR="00070CB8" w:rsidRDefault="00070CB8" w:rsidP="00070CB8">
      <w:pPr>
        <w:pStyle w:val="Title"/>
        <w:jc w:val="right"/>
        <w:rPr>
          <w:rFonts w:ascii="Calibri" w:hAnsi="Calibri"/>
        </w:rPr>
      </w:pPr>
    </w:p>
    <w:p w14:paraId="58AD5BAE" w14:textId="77777777" w:rsidR="00AC41D4" w:rsidRPr="00A40178" w:rsidRDefault="00AC41D4" w:rsidP="00AC41D4">
      <w:pPr>
        <w:pStyle w:val="Title"/>
        <w:rPr>
          <w:rFonts w:ascii="Calibri" w:hAnsi="Calibri"/>
        </w:rPr>
      </w:pPr>
      <w:r w:rsidRPr="00A40178">
        <w:rPr>
          <w:rFonts w:ascii="Calibri" w:hAnsi="Calibri"/>
        </w:rPr>
        <w:t xml:space="preserve">group policies and procedures </w:t>
      </w:r>
    </w:p>
    <w:p w14:paraId="0DA310F5" w14:textId="36BBBF6B" w:rsidR="00C15FAF" w:rsidRPr="00A40178" w:rsidRDefault="00110519">
      <w:pPr>
        <w:pStyle w:val="Heading1"/>
        <w:rPr>
          <w:rFonts w:ascii="Calibri" w:hAnsi="Calibri"/>
          <w:sz w:val="36"/>
          <w:szCs w:val="36"/>
        </w:rPr>
      </w:pPr>
      <w:r>
        <w:rPr>
          <w:rFonts w:ascii="Calibri" w:hAnsi="Calibri"/>
          <w:sz w:val="36"/>
          <w:szCs w:val="36"/>
        </w:rPr>
        <w:t>caldicott policy</w:t>
      </w:r>
      <w:r>
        <w:rPr>
          <w:rFonts w:ascii="Calibri" w:hAnsi="Calibri"/>
          <w:sz w:val="36"/>
          <w:szCs w:val="36"/>
        </w:rPr>
        <w:tab/>
      </w:r>
      <w:r>
        <w:rPr>
          <w:rFonts w:ascii="Calibri" w:hAnsi="Calibri"/>
          <w:sz w:val="36"/>
          <w:szCs w:val="36"/>
        </w:rPr>
        <w:tab/>
      </w:r>
    </w:p>
    <w:p w14:paraId="43CE4C50" w14:textId="77777777" w:rsidR="00C15FAF" w:rsidRPr="00A40178" w:rsidRDefault="00A40178">
      <w:pPr>
        <w:rPr>
          <w:rFonts w:ascii="Calibri" w:hAnsi="Calibri"/>
        </w:rPr>
      </w:pPr>
      <w:r w:rsidRPr="00A40178">
        <w:rPr>
          <w:rFonts w:ascii="Calibri" w:hAnsi="Calibri"/>
        </w:rPr>
        <w:t xml:space="preserve"> </w:t>
      </w:r>
    </w:p>
    <w:tbl>
      <w:tblPr>
        <w:tblStyle w:val="TableGrid"/>
        <w:tblW w:w="0" w:type="auto"/>
        <w:tblLook w:val="04A0" w:firstRow="1" w:lastRow="0" w:firstColumn="1" w:lastColumn="0" w:noHBand="0" w:noVBand="1"/>
      </w:tblPr>
      <w:tblGrid>
        <w:gridCol w:w="2793"/>
        <w:gridCol w:w="6557"/>
      </w:tblGrid>
      <w:tr w:rsidR="00A40178" w:rsidRPr="00A40178" w14:paraId="4F380843" w14:textId="77777777" w:rsidTr="00196599">
        <w:tc>
          <w:tcPr>
            <w:tcW w:w="2943" w:type="dxa"/>
            <w:shd w:val="clear" w:color="auto" w:fill="099BDD" w:themeFill="text2"/>
          </w:tcPr>
          <w:p w14:paraId="5C527393" w14:textId="77777777" w:rsidR="00A40178" w:rsidRPr="00A40178" w:rsidRDefault="00A40178" w:rsidP="00196599">
            <w:pPr>
              <w:pStyle w:val="Heading6"/>
              <w:rPr>
                <w:rFonts w:ascii="Calibri" w:hAnsi="Calibri"/>
                <w:b/>
                <w:color w:val="FFFFFF" w:themeColor="background1"/>
                <w:sz w:val="28"/>
                <w:szCs w:val="28"/>
              </w:rPr>
            </w:pPr>
            <w:r w:rsidRPr="00A40178">
              <w:rPr>
                <w:rFonts w:ascii="Calibri" w:hAnsi="Calibri"/>
                <w:color w:val="FFFFFF" w:themeColor="background1"/>
                <w:sz w:val="28"/>
                <w:szCs w:val="28"/>
              </w:rPr>
              <w:t>Category</w:t>
            </w:r>
          </w:p>
        </w:tc>
        <w:tc>
          <w:tcPr>
            <w:tcW w:w="7353" w:type="dxa"/>
          </w:tcPr>
          <w:p w14:paraId="6228B86D" w14:textId="1F3895F1" w:rsidR="00A40178" w:rsidRPr="00A40178" w:rsidRDefault="006733A4" w:rsidP="00196599">
            <w:pPr>
              <w:spacing w:after="200" w:line="276" w:lineRule="auto"/>
              <w:rPr>
                <w:rFonts w:ascii="Calibri" w:hAnsi="Calibri"/>
                <w:sz w:val="28"/>
                <w:szCs w:val="28"/>
              </w:rPr>
            </w:pPr>
            <w:r>
              <w:rPr>
                <w:rFonts w:ascii="Calibri" w:hAnsi="Calibri"/>
                <w:sz w:val="28"/>
                <w:szCs w:val="28"/>
              </w:rPr>
              <w:t>Corporate</w:t>
            </w:r>
            <w:r w:rsidR="00110519">
              <w:rPr>
                <w:rFonts w:ascii="Calibri" w:hAnsi="Calibri"/>
                <w:sz w:val="28"/>
                <w:szCs w:val="28"/>
              </w:rPr>
              <w:t xml:space="preserve"> Governance</w:t>
            </w:r>
          </w:p>
        </w:tc>
      </w:tr>
      <w:tr w:rsidR="00A40178" w:rsidRPr="00A40178" w14:paraId="2DAC5305" w14:textId="77777777" w:rsidTr="00196599">
        <w:tc>
          <w:tcPr>
            <w:tcW w:w="2943" w:type="dxa"/>
            <w:shd w:val="clear" w:color="auto" w:fill="099BDD" w:themeFill="text2"/>
          </w:tcPr>
          <w:p w14:paraId="33A1C3F0" w14:textId="77777777" w:rsidR="00A40178" w:rsidRPr="00A40178" w:rsidRDefault="00A40178" w:rsidP="00196599">
            <w:pPr>
              <w:pStyle w:val="Heading6"/>
              <w:rPr>
                <w:rFonts w:ascii="Calibri" w:hAnsi="Calibri"/>
                <w:b/>
                <w:color w:val="FFFFFF" w:themeColor="background1"/>
                <w:sz w:val="28"/>
                <w:szCs w:val="28"/>
              </w:rPr>
            </w:pPr>
            <w:r w:rsidRPr="00A40178">
              <w:rPr>
                <w:rFonts w:ascii="Calibri" w:hAnsi="Calibri"/>
                <w:color w:val="FFFFFF" w:themeColor="background1"/>
                <w:sz w:val="28"/>
                <w:szCs w:val="28"/>
              </w:rPr>
              <w:t>Author</w:t>
            </w:r>
          </w:p>
        </w:tc>
        <w:tc>
          <w:tcPr>
            <w:tcW w:w="7353" w:type="dxa"/>
          </w:tcPr>
          <w:p w14:paraId="5FE6A09B" w14:textId="77777777" w:rsidR="00A40178" w:rsidRPr="00A40178" w:rsidRDefault="00A40178" w:rsidP="00196599">
            <w:pPr>
              <w:spacing w:after="200" w:line="276" w:lineRule="auto"/>
              <w:rPr>
                <w:rFonts w:ascii="Calibri" w:hAnsi="Calibri"/>
                <w:sz w:val="28"/>
                <w:szCs w:val="28"/>
              </w:rPr>
            </w:pPr>
            <w:r w:rsidRPr="00A40178">
              <w:rPr>
                <w:rFonts w:ascii="Calibri" w:hAnsi="Calibri"/>
                <w:sz w:val="28"/>
                <w:szCs w:val="28"/>
              </w:rPr>
              <w:t>Castleman Healthcare</w:t>
            </w:r>
            <w:r w:rsidR="001D7BDE">
              <w:rPr>
                <w:rFonts w:ascii="Calibri" w:hAnsi="Calibri"/>
                <w:sz w:val="28"/>
                <w:szCs w:val="28"/>
              </w:rPr>
              <w:t xml:space="preserve"> Ltd</w:t>
            </w:r>
          </w:p>
        </w:tc>
      </w:tr>
      <w:tr w:rsidR="00A40178" w:rsidRPr="00A40178" w14:paraId="556B03E2" w14:textId="77777777" w:rsidTr="00196599">
        <w:tc>
          <w:tcPr>
            <w:tcW w:w="2943" w:type="dxa"/>
            <w:shd w:val="clear" w:color="auto" w:fill="099BDD" w:themeFill="text2"/>
          </w:tcPr>
          <w:p w14:paraId="46F9B232" w14:textId="77777777" w:rsidR="00A40178" w:rsidRPr="00A40178" w:rsidRDefault="00A40178" w:rsidP="00196599">
            <w:pPr>
              <w:pStyle w:val="Heading6"/>
              <w:rPr>
                <w:rFonts w:ascii="Calibri" w:hAnsi="Calibri"/>
                <w:b/>
                <w:color w:val="FFFFFF" w:themeColor="background1"/>
                <w:sz w:val="28"/>
                <w:szCs w:val="28"/>
              </w:rPr>
            </w:pPr>
            <w:r w:rsidRPr="00A40178">
              <w:rPr>
                <w:rFonts w:ascii="Calibri" w:hAnsi="Calibri"/>
                <w:color w:val="FFFFFF" w:themeColor="background1"/>
                <w:sz w:val="28"/>
                <w:szCs w:val="28"/>
              </w:rPr>
              <w:t>Responsible Director</w:t>
            </w:r>
          </w:p>
        </w:tc>
        <w:tc>
          <w:tcPr>
            <w:tcW w:w="7353" w:type="dxa"/>
          </w:tcPr>
          <w:p w14:paraId="7435F7A9" w14:textId="4836C8C9" w:rsidR="00A40178" w:rsidRPr="00A40178" w:rsidRDefault="00B13948" w:rsidP="00196599">
            <w:pPr>
              <w:spacing w:after="200" w:line="276" w:lineRule="auto"/>
              <w:rPr>
                <w:rFonts w:ascii="Calibri" w:hAnsi="Calibri"/>
                <w:sz w:val="28"/>
                <w:szCs w:val="28"/>
              </w:rPr>
            </w:pPr>
            <w:r>
              <w:rPr>
                <w:rFonts w:ascii="Calibri" w:hAnsi="Calibri"/>
                <w:sz w:val="28"/>
                <w:szCs w:val="28"/>
              </w:rPr>
              <w:t>Fiona Pickering</w:t>
            </w:r>
          </w:p>
        </w:tc>
      </w:tr>
      <w:tr w:rsidR="00A40178" w:rsidRPr="00A40178" w14:paraId="01263F99" w14:textId="77777777" w:rsidTr="00196599">
        <w:tc>
          <w:tcPr>
            <w:tcW w:w="2943" w:type="dxa"/>
            <w:shd w:val="clear" w:color="auto" w:fill="099BDD" w:themeFill="text2"/>
          </w:tcPr>
          <w:p w14:paraId="0580C7C0" w14:textId="77777777" w:rsidR="00A40178" w:rsidRPr="00A40178" w:rsidRDefault="00A40178" w:rsidP="00196599">
            <w:pPr>
              <w:pStyle w:val="Heading6"/>
              <w:rPr>
                <w:rFonts w:ascii="Calibri" w:hAnsi="Calibri"/>
                <w:b/>
                <w:color w:val="FFFFFF" w:themeColor="background1"/>
                <w:sz w:val="28"/>
                <w:szCs w:val="28"/>
              </w:rPr>
            </w:pPr>
            <w:r w:rsidRPr="00A40178">
              <w:rPr>
                <w:rFonts w:ascii="Calibri" w:hAnsi="Calibri"/>
                <w:color w:val="FFFFFF" w:themeColor="background1"/>
                <w:sz w:val="28"/>
                <w:szCs w:val="28"/>
              </w:rPr>
              <w:t>Date of issue</w:t>
            </w:r>
          </w:p>
        </w:tc>
        <w:tc>
          <w:tcPr>
            <w:tcW w:w="7353" w:type="dxa"/>
          </w:tcPr>
          <w:p w14:paraId="387BD1A4" w14:textId="0EA2F46E" w:rsidR="00A40178" w:rsidRPr="00A40178" w:rsidRDefault="0041181B" w:rsidP="00196599">
            <w:pPr>
              <w:spacing w:after="200" w:line="276" w:lineRule="auto"/>
              <w:rPr>
                <w:rFonts w:ascii="Calibri" w:hAnsi="Calibri"/>
                <w:sz w:val="28"/>
                <w:szCs w:val="28"/>
              </w:rPr>
            </w:pPr>
            <w:r>
              <w:rPr>
                <w:rFonts w:ascii="Calibri" w:hAnsi="Calibri"/>
                <w:sz w:val="28"/>
                <w:szCs w:val="28"/>
              </w:rPr>
              <w:t>September</w:t>
            </w:r>
            <w:r w:rsidR="00A40178" w:rsidRPr="00A40178">
              <w:rPr>
                <w:rFonts w:ascii="Calibri" w:hAnsi="Calibri"/>
                <w:sz w:val="28"/>
                <w:szCs w:val="28"/>
              </w:rPr>
              <w:t xml:space="preserve"> 2016</w:t>
            </w:r>
          </w:p>
        </w:tc>
      </w:tr>
      <w:tr w:rsidR="00A40178" w:rsidRPr="00A40178" w14:paraId="40097A9A" w14:textId="77777777" w:rsidTr="00196599">
        <w:tc>
          <w:tcPr>
            <w:tcW w:w="2943" w:type="dxa"/>
            <w:shd w:val="clear" w:color="auto" w:fill="099BDD" w:themeFill="text2"/>
          </w:tcPr>
          <w:p w14:paraId="33627AD8" w14:textId="77777777" w:rsidR="00A40178" w:rsidRPr="00A40178" w:rsidRDefault="00A40178" w:rsidP="00196599">
            <w:pPr>
              <w:pStyle w:val="Heading6"/>
              <w:rPr>
                <w:rFonts w:ascii="Calibri" w:hAnsi="Calibri"/>
                <w:b/>
                <w:color w:val="FFFFFF" w:themeColor="background1"/>
                <w:sz w:val="28"/>
                <w:szCs w:val="28"/>
              </w:rPr>
            </w:pPr>
            <w:r w:rsidRPr="00A40178">
              <w:rPr>
                <w:rFonts w:ascii="Calibri" w:hAnsi="Calibri"/>
                <w:color w:val="FFFFFF" w:themeColor="background1"/>
                <w:sz w:val="28"/>
                <w:szCs w:val="28"/>
              </w:rPr>
              <w:t>Next review date</w:t>
            </w:r>
          </w:p>
        </w:tc>
        <w:tc>
          <w:tcPr>
            <w:tcW w:w="7353" w:type="dxa"/>
          </w:tcPr>
          <w:p w14:paraId="640F7507" w14:textId="36BAEFCD" w:rsidR="00A40178" w:rsidRPr="00A40178" w:rsidRDefault="00B13948" w:rsidP="00196599">
            <w:pPr>
              <w:spacing w:after="200" w:line="276" w:lineRule="auto"/>
              <w:rPr>
                <w:rFonts w:ascii="Calibri" w:hAnsi="Calibri"/>
                <w:sz w:val="28"/>
                <w:szCs w:val="28"/>
              </w:rPr>
            </w:pPr>
            <w:r>
              <w:rPr>
                <w:rFonts w:ascii="Calibri" w:hAnsi="Calibri"/>
                <w:sz w:val="28"/>
                <w:szCs w:val="28"/>
              </w:rPr>
              <w:t>September 2024</w:t>
            </w:r>
          </w:p>
        </w:tc>
      </w:tr>
      <w:tr w:rsidR="00A40178" w:rsidRPr="00A40178" w14:paraId="13B9F795" w14:textId="77777777" w:rsidTr="00196599">
        <w:tc>
          <w:tcPr>
            <w:tcW w:w="2943" w:type="dxa"/>
            <w:shd w:val="clear" w:color="auto" w:fill="099BDD" w:themeFill="text2"/>
          </w:tcPr>
          <w:p w14:paraId="46B13B10" w14:textId="77777777" w:rsidR="00A40178" w:rsidRPr="00A40178" w:rsidRDefault="00A40178" w:rsidP="00196599">
            <w:pPr>
              <w:pStyle w:val="Heading6"/>
              <w:rPr>
                <w:rFonts w:ascii="Calibri" w:hAnsi="Calibri"/>
                <w:b/>
                <w:color w:val="FFFFFF" w:themeColor="background1"/>
                <w:sz w:val="28"/>
                <w:szCs w:val="28"/>
              </w:rPr>
            </w:pPr>
            <w:r w:rsidRPr="00A40178">
              <w:rPr>
                <w:rFonts w:ascii="Calibri" w:hAnsi="Calibri"/>
                <w:color w:val="FFFFFF" w:themeColor="background1"/>
                <w:sz w:val="28"/>
                <w:szCs w:val="28"/>
              </w:rPr>
              <w:t>Document ref &amp; version</w:t>
            </w:r>
          </w:p>
        </w:tc>
        <w:tc>
          <w:tcPr>
            <w:tcW w:w="7353" w:type="dxa"/>
          </w:tcPr>
          <w:p w14:paraId="1833BBD7" w14:textId="33063C07" w:rsidR="00A40178" w:rsidRPr="00A40178" w:rsidRDefault="0041181B" w:rsidP="00196599">
            <w:pPr>
              <w:spacing w:after="200" w:line="276" w:lineRule="auto"/>
              <w:rPr>
                <w:rFonts w:ascii="Calibri" w:hAnsi="Calibri"/>
                <w:sz w:val="28"/>
                <w:szCs w:val="28"/>
              </w:rPr>
            </w:pPr>
            <w:r>
              <w:rPr>
                <w:rFonts w:ascii="Calibri" w:hAnsi="Calibri"/>
                <w:sz w:val="28"/>
                <w:szCs w:val="28"/>
              </w:rPr>
              <w:t xml:space="preserve">Caldicott Policy </w:t>
            </w:r>
            <w:r w:rsidR="00B13948">
              <w:rPr>
                <w:rFonts w:ascii="Calibri" w:hAnsi="Calibri"/>
                <w:sz w:val="28"/>
                <w:szCs w:val="28"/>
              </w:rPr>
              <w:t>V1</w:t>
            </w:r>
          </w:p>
        </w:tc>
      </w:tr>
    </w:tbl>
    <w:p w14:paraId="605BC5C0" w14:textId="77777777" w:rsidR="00A40178" w:rsidRPr="00A40178" w:rsidRDefault="00A40178" w:rsidP="00A40178">
      <w:pPr>
        <w:spacing w:line="276" w:lineRule="auto"/>
        <w:rPr>
          <w:rFonts w:ascii="Calibri" w:hAnsi="Calibri"/>
          <w:b/>
          <w:color w:val="099BDD" w:themeColor="text2"/>
          <w:sz w:val="24"/>
          <w:szCs w:val="24"/>
        </w:rPr>
      </w:pPr>
      <w:r w:rsidRPr="00A40178">
        <w:rPr>
          <w:rFonts w:ascii="Calibri" w:hAnsi="Calibri"/>
          <w:b/>
          <w:color w:val="099BDD" w:themeColor="text2"/>
          <w:sz w:val="24"/>
          <w:szCs w:val="24"/>
        </w:rPr>
        <w:t>Related policies and guidance</w:t>
      </w:r>
    </w:p>
    <w:p w14:paraId="3BBE408D" w14:textId="4ACDF8BB" w:rsidR="00A40178" w:rsidRPr="00B13948" w:rsidRDefault="00A40178" w:rsidP="00B13948">
      <w:pPr>
        <w:spacing w:line="276" w:lineRule="auto"/>
        <w:rPr>
          <w:rFonts w:ascii="Calibri" w:hAnsi="Calibri"/>
          <w:b/>
          <w:sz w:val="24"/>
          <w:szCs w:val="24"/>
        </w:rPr>
      </w:pPr>
    </w:p>
    <w:p w14:paraId="0CBF26FC" w14:textId="77777777" w:rsidR="00A40178" w:rsidRPr="00A40178" w:rsidRDefault="00A40178" w:rsidP="00A40178">
      <w:pPr>
        <w:spacing w:line="276" w:lineRule="auto"/>
        <w:rPr>
          <w:rFonts w:ascii="Calibri" w:hAnsi="Calibri"/>
          <w:b/>
          <w:color w:val="099BDD" w:themeColor="text2"/>
          <w:sz w:val="24"/>
          <w:szCs w:val="24"/>
        </w:rPr>
      </w:pPr>
      <w:r w:rsidRPr="00A40178">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215"/>
        <w:gridCol w:w="1190"/>
        <w:gridCol w:w="1528"/>
        <w:gridCol w:w="1944"/>
        <w:gridCol w:w="3473"/>
      </w:tblGrid>
      <w:tr w:rsidR="00A40178" w:rsidRPr="00A40178" w14:paraId="6016835C" w14:textId="77777777" w:rsidTr="00B13948">
        <w:tc>
          <w:tcPr>
            <w:tcW w:w="1215" w:type="dxa"/>
            <w:shd w:val="clear" w:color="auto" w:fill="099BDD" w:themeFill="text2"/>
          </w:tcPr>
          <w:p w14:paraId="1C474925" w14:textId="77777777" w:rsidR="00A40178" w:rsidRPr="00A40178" w:rsidRDefault="00A40178" w:rsidP="00196599">
            <w:pPr>
              <w:spacing w:after="200" w:line="276" w:lineRule="auto"/>
              <w:rPr>
                <w:rFonts w:ascii="Calibri" w:hAnsi="Calibri"/>
                <w:color w:val="FFFFFF" w:themeColor="background1"/>
              </w:rPr>
            </w:pPr>
            <w:r w:rsidRPr="00A40178">
              <w:rPr>
                <w:rFonts w:ascii="Calibri" w:hAnsi="Calibri"/>
                <w:color w:val="FFFFFF" w:themeColor="background1"/>
              </w:rPr>
              <w:t>Version</w:t>
            </w:r>
          </w:p>
        </w:tc>
        <w:tc>
          <w:tcPr>
            <w:tcW w:w="1190" w:type="dxa"/>
            <w:shd w:val="clear" w:color="auto" w:fill="099BDD" w:themeFill="text2"/>
          </w:tcPr>
          <w:p w14:paraId="75CDE1BC" w14:textId="77777777" w:rsidR="00A40178" w:rsidRPr="00A40178" w:rsidRDefault="00A40178" w:rsidP="00196599">
            <w:pPr>
              <w:spacing w:after="200" w:line="276" w:lineRule="auto"/>
              <w:rPr>
                <w:rFonts w:ascii="Calibri" w:hAnsi="Calibri"/>
                <w:color w:val="FFFFFF" w:themeColor="background1"/>
              </w:rPr>
            </w:pPr>
            <w:r w:rsidRPr="00A40178">
              <w:rPr>
                <w:rFonts w:ascii="Calibri" w:hAnsi="Calibri"/>
                <w:color w:val="FFFFFF" w:themeColor="background1"/>
              </w:rPr>
              <w:t>Date</w:t>
            </w:r>
          </w:p>
        </w:tc>
        <w:tc>
          <w:tcPr>
            <w:tcW w:w="1528" w:type="dxa"/>
            <w:shd w:val="clear" w:color="auto" w:fill="099BDD" w:themeFill="text2"/>
          </w:tcPr>
          <w:p w14:paraId="7659EC91" w14:textId="77777777" w:rsidR="00A40178" w:rsidRPr="00A40178" w:rsidRDefault="00A40178" w:rsidP="00196599">
            <w:pPr>
              <w:spacing w:after="200" w:line="276" w:lineRule="auto"/>
              <w:rPr>
                <w:rFonts w:ascii="Calibri" w:hAnsi="Calibri"/>
                <w:color w:val="FFFFFF" w:themeColor="background1"/>
              </w:rPr>
            </w:pPr>
            <w:r w:rsidRPr="00A40178">
              <w:rPr>
                <w:rFonts w:ascii="Calibri" w:hAnsi="Calibri"/>
                <w:color w:val="FFFFFF" w:themeColor="background1"/>
              </w:rPr>
              <w:t>Author</w:t>
            </w:r>
          </w:p>
        </w:tc>
        <w:tc>
          <w:tcPr>
            <w:tcW w:w="1944" w:type="dxa"/>
            <w:shd w:val="clear" w:color="auto" w:fill="099BDD" w:themeFill="text2"/>
          </w:tcPr>
          <w:p w14:paraId="72D57FDE" w14:textId="77777777" w:rsidR="00A40178" w:rsidRPr="00A40178" w:rsidRDefault="00A40178" w:rsidP="00196599">
            <w:pPr>
              <w:spacing w:after="200" w:line="276" w:lineRule="auto"/>
              <w:rPr>
                <w:rFonts w:ascii="Calibri" w:hAnsi="Calibri"/>
                <w:color w:val="FFFFFF" w:themeColor="background1"/>
              </w:rPr>
            </w:pPr>
            <w:r w:rsidRPr="00A40178">
              <w:rPr>
                <w:rFonts w:ascii="Calibri" w:hAnsi="Calibri"/>
                <w:color w:val="FFFFFF" w:themeColor="background1"/>
              </w:rPr>
              <w:t>Approved by</w:t>
            </w:r>
          </w:p>
        </w:tc>
        <w:tc>
          <w:tcPr>
            <w:tcW w:w="3473" w:type="dxa"/>
            <w:shd w:val="clear" w:color="auto" w:fill="099BDD" w:themeFill="text2"/>
          </w:tcPr>
          <w:p w14:paraId="039757F8" w14:textId="77777777" w:rsidR="00A40178" w:rsidRPr="00A40178" w:rsidRDefault="00A40178" w:rsidP="00196599">
            <w:pPr>
              <w:spacing w:after="200" w:line="276" w:lineRule="auto"/>
              <w:rPr>
                <w:rFonts w:ascii="Calibri" w:hAnsi="Calibri"/>
                <w:color w:val="FFFFFF" w:themeColor="background1"/>
              </w:rPr>
            </w:pPr>
            <w:r w:rsidRPr="00A40178">
              <w:rPr>
                <w:rFonts w:ascii="Calibri" w:hAnsi="Calibri"/>
                <w:color w:val="FFFFFF" w:themeColor="background1"/>
              </w:rPr>
              <w:t>Comments</w:t>
            </w:r>
          </w:p>
        </w:tc>
      </w:tr>
      <w:tr w:rsidR="00A40178" w:rsidRPr="00A40178" w14:paraId="078184C0" w14:textId="77777777" w:rsidTr="00B13948">
        <w:tc>
          <w:tcPr>
            <w:tcW w:w="1215" w:type="dxa"/>
          </w:tcPr>
          <w:p w14:paraId="5ABA3816" w14:textId="09748BAE" w:rsidR="00A40178" w:rsidRPr="00A40178" w:rsidRDefault="0041181B" w:rsidP="00196599">
            <w:pPr>
              <w:spacing w:after="200" w:line="276" w:lineRule="auto"/>
              <w:rPr>
                <w:rFonts w:ascii="Calibri" w:hAnsi="Calibri"/>
              </w:rPr>
            </w:pPr>
            <w:r>
              <w:rPr>
                <w:rFonts w:ascii="Calibri" w:hAnsi="Calibri"/>
              </w:rPr>
              <w:t>Final</w:t>
            </w:r>
          </w:p>
        </w:tc>
        <w:tc>
          <w:tcPr>
            <w:tcW w:w="1190" w:type="dxa"/>
          </w:tcPr>
          <w:p w14:paraId="350691C3" w14:textId="71D836D9" w:rsidR="00A40178" w:rsidRPr="00A40178" w:rsidRDefault="0041181B" w:rsidP="00196599">
            <w:pPr>
              <w:spacing w:after="200" w:line="276" w:lineRule="auto"/>
              <w:rPr>
                <w:rFonts w:ascii="Calibri" w:hAnsi="Calibri"/>
              </w:rPr>
            </w:pPr>
            <w:r>
              <w:rPr>
                <w:rFonts w:ascii="Calibri" w:hAnsi="Calibri"/>
              </w:rPr>
              <w:t>Sep</w:t>
            </w:r>
            <w:r w:rsidR="00B13948">
              <w:rPr>
                <w:rFonts w:ascii="Calibri" w:hAnsi="Calibri"/>
              </w:rPr>
              <w:t xml:space="preserve"> 20</w:t>
            </w:r>
            <w:r>
              <w:rPr>
                <w:rFonts w:ascii="Calibri" w:hAnsi="Calibri"/>
              </w:rPr>
              <w:t>16</w:t>
            </w:r>
          </w:p>
        </w:tc>
        <w:tc>
          <w:tcPr>
            <w:tcW w:w="1528" w:type="dxa"/>
          </w:tcPr>
          <w:p w14:paraId="5812C3A6" w14:textId="77777777" w:rsidR="00A40178" w:rsidRPr="00A40178" w:rsidRDefault="001D7BDE" w:rsidP="00196599">
            <w:pPr>
              <w:spacing w:after="200" w:line="276" w:lineRule="auto"/>
              <w:rPr>
                <w:rFonts w:ascii="Calibri" w:hAnsi="Calibri"/>
              </w:rPr>
            </w:pPr>
            <w:r>
              <w:rPr>
                <w:rFonts w:ascii="Calibri" w:hAnsi="Calibri"/>
              </w:rPr>
              <w:t xml:space="preserve"> </w:t>
            </w:r>
          </w:p>
        </w:tc>
        <w:tc>
          <w:tcPr>
            <w:tcW w:w="1944" w:type="dxa"/>
          </w:tcPr>
          <w:p w14:paraId="62E8A107" w14:textId="114F5C7E" w:rsidR="00A40178" w:rsidRPr="00A40178" w:rsidRDefault="0041181B" w:rsidP="00196599">
            <w:pPr>
              <w:spacing w:after="200" w:line="276" w:lineRule="auto"/>
              <w:rPr>
                <w:rFonts w:ascii="Calibri" w:hAnsi="Calibri"/>
              </w:rPr>
            </w:pPr>
            <w:r>
              <w:rPr>
                <w:rFonts w:ascii="Calibri" w:hAnsi="Calibri"/>
              </w:rPr>
              <w:t>FP</w:t>
            </w:r>
          </w:p>
        </w:tc>
        <w:tc>
          <w:tcPr>
            <w:tcW w:w="3473" w:type="dxa"/>
          </w:tcPr>
          <w:p w14:paraId="11766EB3" w14:textId="77777777" w:rsidR="00A40178" w:rsidRPr="00A40178" w:rsidRDefault="00A40178" w:rsidP="00196599">
            <w:pPr>
              <w:spacing w:after="200" w:line="276" w:lineRule="auto"/>
              <w:rPr>
                <w:rFonts w:ascii="Calibri" w:hAnsi="Calibri"/>
              </w:rPr>
            </w:pPr>
          </w:p>
        </w:tc>
      </w:tr>
      <w:tr w:rsidR="00A40178" w:rsidRPr="00A40178" w14:paraId="7A9091D5" w14:textId="77777777" w:rsidTr="00B13948">
        <w:tc>
          <w:tcPr>
            <w:tcW w:w="1215" w:type="dxa"/>
          </w:tcPr>
          <w:p w14:paraId="0ECE6450" w14:textId="3A264C2D" w:rsidR="00A40178" w:rsidRPr="00A40178" w:rsidRDefault="00A40178" w:rsidP="00196599">
            <w:pPr>
              <w:spacing w:after="200" w:line="276" w:lineRule="auto"/>
              <w:rPr>
                <w:rFonts w:ascii="Calibri" w:hAnsi="Calibri"/>
              </w:rPr>
            </w:pPr>
          </w:p>
        </w:tc>
        <w:tc>
          <w:tcPr>
            <w:tcW w:w="1190" w:type="dxa"/>
          </w:tcPr>
          <w:p w14:paraId="1EEB0B22" w14:textId="088E66AD" w:rsidR="00A40178" w:rsidRPr="00A40178" w:rsidRDefault="00983715" w:rsidP="00196599">
            <w:pPr>
              <w:spacing w:after="200" w:line="276" w:lineRule="auto"/>
              <w:rPr>
                <w:rFonts w:ascii="Calibri" w:hAnsi="Calibri"/>
              </w:rPr>
            </w:pPr>
            <w:r>
              <w:rPr>
                <w:rFonts w:ascii="Calibri" w:hAnsi="Calibri"/>
              </w:rPr>
              <w:t xml:space="preserve">Aug </w:t>
            </w:r>
            <w:r w:rsidR="00B13948">
              <w:rPr>
                <w:rFonts w:ascii="Calibri" w:hAnsi="Calibri"/>
              </w:rPr>
              <w:t>20</w:t>
            </w:r>
            <w:r>
              <w:rPr>
                <w:rFonts w:ascii="Calibri" w:hAnsi="Calibri"/>
              </w:rPr>
              <w:t>19</w:t>
            </w:r>
          </w:p>
        </w:tc>
        <w:tc>
          <w:tcPr>
            <w:tcW w:w="1528" w:type="dxa"/>
          </w:tcPr>
          <w:p w14:paraId="3A16E86D" w14:textId="77777777" w:rsidR="00A40178" w:rsidRPr="00A40178" w:rsidRDefault="00A40178" w:rsidP="00196599">
            <w:pPr>
              <w:spacing w:after="200" w:line="276" w:lineRule="auto"/>
              <w:rPr>
                <w:rFonts w:ascii="Calibri" w:hAnsi="Calibri"/>
              </w:rPr>
            </w:pPr>
          </w:p>
        </w:tc>
        <w:tc>
          <w:tcPr>
            <w:tcW w:w="1944" w:type="dxa"/>
          </w:tcPr>
          <w:p w14:paraId="1BDF659B" w14:textId="77777777" w:rsidR="00A40178" w:rsidRPr="00A40178" w:rsidRDefault="00A40178" w:rsidP="00196599">
            <w:pPr>
              <w:spacing w:after="200" w:line="276" w:lineRule="auto"/>
              <w:rPr>
                <w:rFonts w:ascii="Calibri" w:hAnsi="Calibri"/>
              </w:rPr>
            </w:pPr>
          </w:p>
        </w:tc>
        <w:tc>
          <w:tcPr>
            <w:tcW w:w="3473" w:type="dxa"/>
          </w:tcPr>
          <w:p w14:paraId="6449B423" w14:textId="67BCD247" w:rsidR="00A40178" w:rsidRPr="00A40178" w:rsidRDefault="00983715" w:rsidP="00196599">
            <w:pPr>
              <w:spacing w:after="200" w:line="276" w:lineRule="auto"/>
              <w:rPr>
                <w:rFonts w:ascii="Calibri" w:hAnsi="Calibri"/>
              </w:rPr>
            </w:pPr>
            <w:r>
              <w:rPr>
                <w:rFonts w:ascii="Calibri" w:hAnsi="Calibri"/>
              </w:rPr>
              <w:t>Reviewed Unchanged JL</w:t>
            </w:r>
          </w:p>
        </w:tc>
      </w:tr>
      <w:tr w:rsidR="00A40178" w:rsidRPr="00A40178" w14:paraId="7F2F6CB7" w14:textId="77777777" w:rsidTr="00B13948">
        <w:tc>
          <w:tcPr>
            <w:tcW w:w="1215" w:type="dxa"/>
          </w:tcPr>
          <w:p w14:paraId="17378088" w14:textId="6A453AA1" w:rsidR="00A40178" w:rsidRPr="00A40178" w:rsidRDefault="00A40178" w:rsidP="00196599">
            <w:pPr>
              <w:spacing w:after="200" w:line="276" w:lineRule="auto"/>
              <w:rPr>
                <w:rFonts w:ascii="Calibri" w:hAnsi="Calibri"/>
              </w:rPr>
            </w:pPr>
          </w:p>
        </w:tc>
        <w:tc>
          <w:tcPr>
            <w:tcW w:w="1190" w:type="dxa"/>
          </w:tcPr>
          <w:p w14:paraId="474AA777" w14:textId="2AB15DD0" w:rsidR="00A40178" w:rsidRPr="00A40178" w:rsidRDefault="00833092" w:rsidP="00196599">
            <w:pPr>
              <w:spacing w:after="200" w:line="276" w:lineRule="auto"/>
              <w:rPr>
                <w:rFonts w:ascii="Calibri" w:hAnsi="Calibri"/>
              </w:rPr>
            </w:pPr>
            <w:r>
              <w:rPr>
                <w:rFonts w:ascii="Calibri" w:hAnsi="Calibri"/>
              </w:rPr>
              <w:t>Sep</w:t>
            </w:r>
            <w:r w:rsidR="00B13948">
              <w:rPr>
                <w:rFonts w:ascii="Calibri" w:hAnsi="Calibri"/>
              </w:rPr>
              <w:t xml:space="preserve"> 20</w:t>
            </w:r>
            <w:r>
              <w:rPr>
                <w:rFonts w:ascii="Calibri" w:hAnsi="Calibri"/>
              </w:rPr>
              <w:t>21</w:t>
            </w:r>
          </w:p>
        </w:tc>
        <w:tc>
          <w:tcPr>
            <w:tcW w:w="1528" w:type="dxa"/>
          </w:tcPr>
          <w:p w14:paraId="160753B4" w14:textId="77777777" w:rsidR="00A40178" w:rsidRPr="00A40178" w:rsidRDefault="00A40178" w:rsidP="00196599">
            <w:pPr>
              <w:spacing w:after="200" w:line="276" w:lineRule="auto"/>
              <w:rPr>
                <w:rFonts w:ascii="Calibri" w:hAnsi="Calibri"/>
              </w:rPr>
            </w:pPr>
          </w:p>
        </w:tc>
        <w:tc>
          <w:tcPr>
            <w:tcW w:w="1944" w:type="dxa"/>
          </w:tcPr>
          <w:p w14:paraId="3222E134" w14:textId="77777777" w:rsidR="00A40178" w:rsidRPr="00A40178" w:rsidRDefault="00A40178" w:rsidP="00196599">
            <w:pPr>
              <w:spacing w:after="200" w:line="276" w:lineRule="auto"/>
              <w:rPr>
                <w:rFonts w:ascii="Calibri" w:hAnsi="Calibri"/>
              </w:rPr>
            </w:pPr>
          </w:p>
        </w:tc>
        <w:tc>
          <w:tcPr>
            <w:tcW w:w="3473" w:type="dxa"/>
          </w:tcPr>
          <w:p w14:paraId="7F26664C" w14:textId="02DCE6AB" w:rsidR="00A40178" w:rsidRPr="00A40178" w:rsidRDefault="00833092" w:rsidP="00196599">
            <w:pPr>
              <w:spacing w:after="200" w:line="276" w:lineRule="auto"/>
              <w:rPr>
                <w:rFonts w:ascii="Calibri" w:hAnsi="Calibri"/>
              </w:rPr>
            </w:pPr>
            <w:r>
              <w:rPr>
                <w:rFonts w:ascii="Calibri" w:hAnsi="Calibri"/>
              </w:rPr>
              <w:t>Reviewed Unchanged DH</w:t>
            </w:r>
          </w:p>
        </w:tc>
      </w:tr>
      <w:tr w:rsidR="00B13948" w:rsidRPr="00A40178" w14:paraId="63973056" w14:textId="77777777" w:rsidTr="00B13948">
        <w:tc>
          <w:tcPr>
            <w:tcW w:w="1215" w:type="dxa"/>
          </w:tcPr>
          <w:p w14:paraId="73E6DFB2" w14:textId="77777777" w:rsidR="00B13948" w:rsidRDefault="00B13948" w:rsidP="00196599">
            <w:pPr>
              <w:spacing w:line="276" w:lineRule="auto"/>
              <w:rPr>
                <w:rFonts w:ascii="Calibri" w:hAnsi="Calibri"/>
              </w:rPr>
            </w:pPr>
          </w:p>
        </w:tc>
        <w:tc>
          <w:tcPr>
            <w:tcW w:w="1190" w:type="dxa"/>
          </w:tcPr>
          <w:p w14:paraId="7B20B568" w14:textId="13E48C23" w:rsidR="00B13948" w:rsidRDefault="00B13948" w:rsidP="00196599">
            <w:pPr>
              <w:spacing w:line="276" w:lineRule="auto"/>
              <w:rPr>
                <w:rFonts w:ascii="Calibri" w:hAnsi="Calibri"/>
              </w:rPr>
            </w:pPr>
            <w:r>
              <w:rPr>
                <w:rFonts w:ascii="Calibri" w:hAnsi="Calibri"/>
              </w:rPr>
              <w:t>Sep 2023</w:t>
            </w:r>
          </w:p>
        </w:tc>
        <w:tc>
          <w:tcPr>
            <w:tcW w:w="1528" w:type="dxa"/>
          </w:tcPr>
          <w:p w14:paraId="30DC5FD4" w14:textId="77777777" w:rsidR="00B13948" w:rsidRPr="00A40178" w:rsidRDefault="00B13948" w:rsidP="00196599">
            <w:pPr>
              <w:spacing w:line="276" w:lineRule="auto"/>
              <w:rPr>
                <w:rFonts w:ascii="Calibri" w:hAnsi="Calibri"/>
              </w:rPr>
            </w:pPr>
          </w:p>
        </w:tc>
        <w:tc>
          <w:tcPr>
            <w:tcW w:w="1944" w:type="dxa"/>
          </w:tcPr>
          <w:p w14:paraId="11550409" w14:textId="77777777" w:rsidR="00B13948" w:rsidRPr="00A40178" w:rsidRDefault="00B13948" w:rsidP="00196599">
            <w:pPr>
              <w:spacing w:line="276" w:lineRule="auto"/>
              <w:rPr>
                <w:rFonts w:ascii="Calibri" w:hAnsi="Calibri"/>
              </w:rPr>
            </w:pPr>
          </w:p>
        </w:tc>
        <w:tc>
          <w:tcPr>
            <w:tcW w:w="3473" w:type="dxa"/>
          </w:tcPr>
          <w:p w14:paraId="058893B5" w14:textId="66A02A27" w:rsidR="00B13948" w:rsidRDefault="00E46C2D" w:rsidP="00196599">
            <w:pPr>
              <w:spacing w:line="276" w:lineRule="auto"/>
              <w:rPr>
                <w:rFonts w:ascii="Calibri" w:hAnsi="Calibri"/>
              </w:rPr>
            </w:pPr>
            <w:r>
              <w:rPr>
                <w:rFonts w:ascii="Calibri" w:hAnsi="Calibri"/>
              </w:rPr>
              <w:t>Reviewed Unchanged DH</w:t>
            </w:r>
          </w:p>
        </w:tc>
      </w:tr>
    </w:tbl>
    <w:p w14:paraId="596A931A" w14:textId="504A6CED" w:rsidR="00A40178" w:rsidRDefault="00A40178" w:rsidP="00B60DF4">
      <w:pPr>
        <w:rPr>
          <w:rFonts w:cs="Calibri"/>
        </w:rPr>
      </w:pPr>
    </w:p>
    <w:p w14:paraId="5241A03B" w14:textId="77777777" w:rsidR="00B13948" w:rsidRDefault="00B13948" w:rsidP="00E46C2D">
      <w:pPr>
        <w:spacing w:before="0" w:after="0" w:line="240" w:lineRule="auto"/>
        <w:rPr>
          <w:rFonts w:cs="Calibri"/>
        </w:rPr>
      </w:pPr>
    </w:p>
    <w:p w14:paraId="293C5B25" w14:textId="36D9E662" w:rsidR="00B60DF4" w:rsidRPr="00B60DF4" w:rsidRDefault="00B60DF4" w:rsidP="00B60DF4">
      <w:pPr>
        <w:pStyle w:val="Heading1"/>
      </w:pPr>
      <w:r>
        <w:t xml:space="preserve"> </w:t>
      </w:r>
      <w:r w:rsidRPr="004B0FF0">
        <w:t>Introduction</w:t>
      </w:r>
    </w:p>
    <w:p w14:paraId="7C490E83" w14:textId="60680F59" w:rsidR="00B60DF4" w:rsidRPr="00B60DF4" w:rsidRDefault="00B60DF4" w:rsidP="00E46C2D">
      <w:pPr>
        <w:rPr>
          <w:rFonts w:ascii="Calibri" w:hAnsi="Calibri"/>
        </w:rPr>
      </w:pPr>
      <w:r w:rsidRPr="004B0FF0">
        <w:rPr>
          <w:rFonts w:ascii="Calibri" w:hAnsi="Calibri"/>
        </w:rPr>
        <w:t>The Caldicott Report was commissioned in December 1997 by the Chief Medical Officer of England owing to increasing concern about the ways in which patient information was used in the NHS in England and Wales and the need to ensure that confidentiality was not undermined.</w:t>
      </w:r>
    </w:p>
    <w:p w14:paraId="4347A7CF" w14:textId="1321A9B1" w:rsidR="00B60DF4" w:rsidRPr="00B60DF4" w:rsidRDefault="00B60DF4" w:rsidP="00E46C2D">
      <w:pPr>
        <w:rPr>
          <w:rFonts w:ascii="Calibri" w:hAnsi="Calibri"/>
        </w:rPr>
      </w:pPr>
      <w:r w:rsidRPr="004B0FF0">
        <w:rPr>
          <w:rFonts w:ascii="Calibri" w:hAnsi="Calibri"/>
        </w:rPr>
        <w:t>Such concern was largely due to the development of information technology in the service, and its capacity to disseminate information about patients rapidly and extensively.</w:t>
      </w:r>
    </w:p>
    <w:p w14:paraId="4E55226F" w14:textId="0D77B569" w:rsidR="00B60DF4" w:rsidRPr="00B60DF4" w:rsidRDefault="00B60DF4" w:rsidP="00E46C2D">
      <w:pPr>
        <w:rPr>
          <w:rFonts w:ascii="Calibri" w:hAnsi="Calibri"/>
        </w:rPr>
      </w:pPr>
      <w:r w:rsidRPr="004B0FF0">
        <w:rPr>
          <w:rFonts w:ascii="Calibri" w:hAnsi="Calibri"/>
        </w:rPr>
        <w:t xml:space="preserve">One of the recommendations of the report stated that all NHS </w:t>
      </w:r>
      <w:proofErr w:type="spellStart"/>
      <w:r w:rsidRPr="004B0FF0">
        <w:rPr>
          <w:rFonts w:ascii="Calibri" w:hAnsi="Calibri"/>
        </w:rPr>
        <w:t>organisations</w:t>
      </w:r>
      <w:proofErr w:type="spellEnd"/>
      <w:r w:rsidRPr="004B0FF0">
        <w:rPr>
          <w:rFonts w:ascii="Calibri" w:hAnsi="Calibri"/>
        </w:rPr>
        <w:t xml:space="preserve"> appoint a Caldicott Guardian to ensure patient-identifiable information is kept secure. (Caldicott Guardians are senior members of staff, preferably at partner level).</w:t>
      </w:r>
    </w:p>
    <w:p w14:paraId="11561613" w14:textId="447722E9" w:rsidR="00B60DF4" w:rsidRPr="00B60DF4" w:rsidRDefault="00B60DF4" w:rsidP="00B60DF4">
      <w:pPr>
        <w:pStyle w:val="Heading1"/>
      </w:pPr>
      <w:r w:rsidRPr="004B0FF0">
        <w:t>Policy Statement</w:t>
      </w:r>
    </w:p>
    <w:p w14:paraId="2E9998B1" w14:textId="089904FC" w:rsidR="00B60DF4" w:rsidRDefault="00B60DF4" w:rsidP="00E46C2D">
      <w:pPr>
        <w:spacing w:after="0" w:line="240" w:lineRule="auto"/>
        <w:rPr>
          <w:rFonts w:ascii="Calibri" w:hAnsi="Calibri"/>
        </w:rPr>
      </w:pPr>
      <w:r w:rsidRPr="004B0FF0">
        <w:rPr>
          <w:rFonts w:ascii="Calibri" w:hAnsi="Calibri"/>
        </w:rPr>
        <w:t>This document defines the Caldicott Policy for</w:t>
      </w:r>
      <w:r>
        <w:rPr>
          <w:rFonts w:ascii="Calibri" w:hAnsi="Calibri"/>
        </w:rPr>
        <w:t xml:space="preserve"> Castleman Healthcare Ltd. </w:t>
      </w:r>
    </w:p>
    <w:p w14:paraId="75FD1199" w14:textId="77777777" w:rsidR="00B60DF4" w:rsidRPr="004B0FF0" w:rsidRDefault="00B60DF4" w:rsidP="00E46C2D">
      <w:pPr>
        <w:spacing w:before="0" w:after="0" w:line="240" w:lineRule="auto"/>
        <w:rPr>
          <w:rFonts w:ascii="Calibri" w:hAnsi="Calibri"/>
        </w:rPr>
      </w:pPr>
    </w:p>
    <w:p w14:paraId="55838435" w14:textId="69049FB8" w:rsidR="00B60DF4" w:rsidRDefault="00B60DF4" w:rsidP="00E46C2D">
      <w:pPr>
        <w:spacing w:before="0" w:after="0" w:line="240" w:lineRule="auto"/>
        <w:rPr>
          <w:rFonts w:ascii="Calibri" w:hAnsi="Calibri"/>
        </w:rPr>
      </w:pPr>
      <w:r w:rsidRPr="004B0FF0">
        <w:rPr>
          <w:rFonts w:ascii="Calibri" w:hAnsi="Calibri"/>
        </w:rPr>
        <w:t xml:space="preserve">The Caldicott Policy applies to all patient-identifiable information, regardless of whether it is of a medical nature or not, obtained and processed by </w:t>
      </w:r>
      <w:r w:rsidR="00D83103">
        <w:rPr>
          <w:rFonts w:ascii="Calibri" w:hAnsi="Calibri"/>
        </w:rPr>
        <w:t>Castleman Healthcare Ltd.</w:t>
      </w:r>
    </w:p>
    <w:p w14:paraId="7160E853" w14:textId="77777777" w:rsidR="00B60DF4" w:rsidRPr="004B0FF0" w:rsidRDefault="00B60DF4" w:rsidP="00E46C2D">
      <w:pPr>
        <w:spacing w:before="0" w:after="0" w:line="240" w:lineRule="auto"/>
        <w:rPr>
          <w:rFonts w:ascii="Calibri" w:hAnsi="Calibri"/>
        </w:rPr>
      </w:pPr>
    </w:p>
    <w:p w14:paraId="3173D127" w14:textId="77777777" w:rsidR="00B60DF4" w:rsidRDefault="00B60DF4" w:rsidP="00E46C2D">
      <w:pPr>
        <w:spacing w:before="0" w:after="0" w:line="240" w:lineRule="auto"/>
        <w:rPr>
          <w:rFonts w:ascii="Calibri" w:hAnsi="Calibri"/>
        </w:rPr>
      </w:pPr>
      <w:r w:rsidRPr="004B0FF0">
        <w:rPr>
          <w:rFonts w:ascii="Calibri" w:hAnsi="Calibri"/>
        </w:rPr>
        <w:t>This document:</w:t>
      </w:r>
    </w:p>
    <w:p w14:paraId="40FFCADA" w14:textId="77777777" w:rsidR="00FD14E9" w:rsidRPr="004B0FF0" w:rsidRDefault="00FD14E9" w:rsidP="00E46C2D">
      <w:pPr>
        <w:spacing w:before="0" w:after="0" w:line="240" w:lineRule="auto"/>
        <w:rPr>
          <w:rFonts w:ascii="Calibri" w:hAnsi="Calibri"/>
        </w:rPr>
      </w:pPr>
    </w:p>
    <w:p w14:paraId="432B8E39" w14:textId="3EABF5E8" w:rsidR="00B60DF4" w:rsidRPr="00B60DF4" w:rsidRDefault="00B60DF4" w:rsidP="00E46C2D">
      <w:pPr>
        <w:pStyle w:val="ListParagraph"/>
        <w:numPr>
          <w:ilvl w:val="0"/>
          <w:numId w:val="11"/>
        </w:numPr>
        <w:spacing w:before="0" w:after="0"/>
        <w:rPr>
          <w:rFonts w:ascii="Calibri" w:hAnsi="Calibri"/>
        </w:rPr>
      </w:pPr>
      <w:r w:rsidRPr="00B60DF4">
        <w:rPr>
          <w:rFonts w:ascii="Calibri" w:hAnsi="Calibri"/>
        </w:rPr>
        <w:t xml:space="preserve">Sets out </w:t>
      </w:r>
      <w:r w:rsidR="00D83103">
        <w:rPr>
          <w:rFonts w:ascii="Calibri" w:hAnsi="Calibri"/>
        </w:rPr>
        <w:t xml:space="preserve">Castleman Healthcare </w:t>
      </w:r>
      <w:r w:rsidR="00FA5C5C">
        <w:rPr>
          <w:rFonts w:ascii="Calibri" w:hAnsi="Calibri"/>
        </w:rPr>
        <w:t>Ltd’s</w:t>
      </w:r>
      <w:r w:rsidR="00D83103">
        <w:rPr>
          <w:rFonts w:ascii="Calibri" w:hAnsi="Calibri"/>
        </w:rPr>
        <w:t xml:space="preserve"> </w:t>
      </w:r>
      <w:r w:rsidRPr="00B60DF4">
        <w:rPr>
          <w:rFonts w:ascii="Calibri" w:hAnsi="Calibri"/>
        </w:rPr>
        <w:t>policy for the protection of all patient-identifiable information obtained and processed.</w:t>
      </w:r>
    </w:p>
    <w:p w14:paraId="78FBFE5D" w14:textId="77777777" w:rsidR="00B60DF4" w:rsidRPr="00B60DF4" w:rsidRDefault="00B60DF4" w:rsidP="00E46C2D">
      <w:pPr>
        <w:pStyle w:val="ListParagraph"/>
        <w:numPr>
          <w:ilvl w:val="0"/>
          <w:numId w:val="11"/>
        </w:numPr>
        <w:spacing w:before="0" w:after="0"/>
        <w:rPr>
          <w:rFonts w:ascii="Calibri" w:hAnsi="Calibri"/>
        </w:rPr>
      </w:pPr>
      <w:r w:rsidRPr="00B60DF4">
        <w:rPr>
          <w:rFonts w:ascii="Calibri" w:hAnsi="Calibri"/>
        </w:rPr>
        <w:t>Establishes the responsibilities for Caldicott Guardianship.</w:t>
      </w:r>
    </w:p>
    <w:p w14:paraId="7E20B94A" w14:textId="4F1789BA" w:rsidR="00B60DF4" w:rsidRPr="00B60DF4" w:rsidRDefault="00B60DF4" w:rsidP="00E46C2D">
      <w:pPr>
        <w:pStyle w:val="ListParagraph"/>
        <w:numPr>
          <w:ilvl w:val="0"/>
          <w:numId w:val="11"/>
        </w:numPr>
        <w:spacing w:before="0" w:after="0"/>
        <w:rPr>
          <w:rFonts w:ascii="Calibri" w:hAnsi="Calibri"/>
        </w:rPr>
      </w:pPr>
      <w:r w:rsidRPr="00B60DF4">
        <w:rPr>
          <w:rFonts w:ascii="Calibri" w:hAnsi="Calibri"/>
        </w:rPr>
        <w:t>Provides reference to the Caldicott principles.</w:t>
      </w:r>
    </w:p>
    <w:p w14:paraId="3FAE60A6" w14:textId="550B85D4" w:rsidR="00B60DF4" w:rsidRPr="00B60DF4" w:rsidRDefault="00B60DF4" w:rsidP="00B60DF4">
      <w:pPr>
        <w:pStyle w:val="Heading1"/>
      </w:pPr>
      <w:r w:rsidRPr="004B0FF0">
        <w:t>Scope of this Policy</w:t>
      </w:r>
    </w:p>
    <w:p w14:paraId="70121941" w14:textId="65929528" w:rsidR="00B60DF4" w:rsidRPr="00B60DF4" w:rsidRDefault="00B60DF4" w:rsidP="00E46C2D">
      <w:pPr>
        <w:rPr>
          <w:rFonts w:ascii="Calibri" w:hAnsi="Calibri"/>
        </w:rPr>
      </w:pPr>
      <w:r w:rsidRPr="004B0FF0">
        <w:rPr>
          <w:rFonts w:ascii="Calibri" w:hAnsi="Calibri"/>
        </w:rPr>
        <w:t xml:space="preserve">This policy applies to all patient-identifiable information processed, stored on computer or relevant filing systems (manual records) and </w:t>
      </w:r>
      <w:r w:rsidR="00D83103">
        <w:rPr>
          <w:rFonts w:ascii="Calibri" w:hAnsi="Calibri"/>
        </w:rPr>
        <w:t xml:space="preserve">Castleman Healthcare Ltd </w:t>
      </w:r>
      <w:r w:rsidRPr="004B0FF0">
        <w:rPr>
          <w:rFonts w:ascii="Calibri" w:hAnsi="Calibri"/>
        </w:rPr>
        <w:t>staff who use the information in connection with their work.</w:t>
      </w:r>
    </w:p>
    <w:p w14:paraId="015FCC73" w14:textId="77777777" w:rsidR="00B60DF4" w:rsidRPr="004B0FF0" w:rsidRDefault="00B60DF4" w:rsidP="00E46C2D">
      <w:pPr>
        <w:rPr>
          <w:rFonts w:ascii="Calibri" w:hAnsi="Calibri"/>
        </w:rPr>
      </w:pPr>
      <w:r w:rsidRPr="004B0FF0">
        <w:rPr>
          <w:rFonts w:ascii="Calibri" w:hAnsi="Calibri"/>
        </w:rPr>
        <w:t>It also follows the guidelines suggested in the revised version of the GMC document “</w:t>
      </w:r>
      <w:r w:rsidRPr="004B0FF0">
        <w:rPr>
          <w:rFonts w:ascii="Calibri" w:hAnsi="Calibri"/>
          <w:i/>
        </w:rPr>
        <w:t>Raising and acting on concerns about patient safety</w:t>
      </w:r>
      <w:r w:rsidRPr="004B0FF0">
        <w:rPr>
          <w:rFonts w:ascii="Calibri" w:hAnsi="Calibri"/>
        </w:rPr>
        <w:t>”, effective 12 March 2012, a copy of which can be downloaded here:</w:t>
      </w:r>
    </w:p>
    <w:p w14:paraId="6A48F701" w14:textId="1AC0457E" w:rsidR="00B60DF4" w:rsidRPr="00B60DF4" w:rsidRDefault="006733A4" w:rsidP="00E46C2D">
      <w:pPr>
        <w:rPr>
          <w:rFonts w:ascii="Calibri" w:hAnsi="Calibri"/>
          <w:sz w:val="20"/>
          <w:szCs w:val="20"/>
        </w:rPr>
      </w:pPr>
      <w:hyperlink r:id="rId9" w:history="1">
        <w:r w:rsidR="00B60DF4" w:rsidRPr="004B0FF0">
          <w:rPr>
            <w:rStyle w:val="Hyperlink"/>
            <w:rFonts w:ascii="Calibri" w:hAnsi="Calibri"/>
            <w:sz w:val="20"/>
            <w:szCs w:val="20"/>
          </w:rPr>
          <w:t>http://www.gmc-uk.org/guidance/ethical_guidance/raising_concerns.asp</w:t>
        </w:r>
      </w:hyperlink>
    </w:p>
    <w:p w14:paraId="7CEA6C94" w14:textId="5D36BFB9" w:rsidR="00B60DF4" w:rsidRPr="00B60DF4" w:rsidRDefault="00B60DF4" w:rsidP="00B60DF4">
      <w:pPr>
        <w:pStyle w:val="Heading1"/>
      </w:pPr>
      <w:r w:rsidRPr="004B0FF0">
        <w:t>Principles</w:t>
      </w:r>
    </w:p>
    <w:p w14:paraId="6792165C" w14:textId="18660AF4" w:rsidR="00B60DF4" w:rsidRPr="00B60DF4" w:rsidRDefault="00B60DF4" w:rsidP="00E46C2D">
      <w:pPr>
        <w:rPr>
          <w:rFonts w:ascii="Calibri" w:hAnsi="Calibri"/>
        </w:rPr>
      </w:pPr>
      <w:r w:rsidRPr="004B0FF0">
        <w:rPr>
          <w:rFonts w:ascii="Calibri" w:hAnsi="Calibri"/>
        </w:rPr>
        <w:t>Patient-identifiable information takes many forms. It can be stored on computers, transmitted across networks, printed or stored on paper, spoken or recorded.</w:t>
      </w:r>
    </w:p>
    <w:p w14:paraId="6A70C4D9" w14:textId="64CFECFE" w:rsidR="00B60DF4" w:rsidRPr="004B0FF0" w:rsidRDefault="00D83103" w:rsidP="00E46C2D">
      <w:pPr>
        <w:rPr>
          <w:rFonts w:ascii="Calibri" w:hAnsi="Calibri"/>
        </w:rPr>
      </w:pPr>
      <w:r>
        <w:rPr>
          <w:rFonts w:ascii="Calibri" w:hAnsi="Calibri"/>
        </w:rPr>
        <w:t xml:space="preserve">Castleman Healthcare Ltd </w:t>
      </w:r>
      <w:r w:rsidR="00B60DF4" w:rsidRPr="004B0FF0">
        <w:rPr>
          <w:rFonts w:ascii="Calibri" w:hAnsi="Calibri"/>
        </w:rPr>
        <w:t>will take all necessary steps to safeguard the integrity, confidentiality, and availability of sensitive information.</w:t>
      </w:r>
    </w:p>
    <w:p w14:paraId="033CBB96" w14:textId="77777777" w:rsidR="00B60DF4" w:rsidRPr="00E46C2D" w:rsidRDefault="00B60DF4" w:rsidP="00E46C2D">
      <w:pPr>
        <w:spacing w:before="0" w:after="0" w:line="240" w:lineRule="auto"/>
        <w:jc w:val="both"/>
        <w:rPr>
          <w:rFonts w:ascii="Calibri" w:hAnsi="Calibri"/>
        </w:rPr>
      </w:pPr>
    </w:p>
    <w:p w14:paraId="152E8A3A" w14:textId="158056CE" w:rsidR="00B60DF4" w:rsidRPr="00B60DF4" w:rsidRDefault="00B60DF4" w:rsidP="00E46C2D">
      <w:pPr>
        <w:spacing w:before="0"/>
        <w:rPr>
          <w:rFonts w:ascii="Calibri" w:hAnsi="Calibri"/>
        </w:rPr>
      </w:pPr>
      <w:r w:rsidRPr="004B0FF0">
        <w:rPr>
          <w:rFonts w:ascii="Calibri" w:hAnsi="Calibri"/>
        </w:rPr>
        <w:t xml:space="preserve">No staff member employed by </w:t>
      </w:r>
      <w:r w:rsidR="00D83103">
        <w:rPr>
          <w:rFonts w:ascii="Calibri" w:hAnsi="Calibri"/>
        </w:rPr>
        <w:t xml:space="preserve">Castleman Healthcare Ltd </w:t>
      </w:r>
      <w:r w:rsidRPr="004B0FF0">
        <w:rPr>
          <w:rFonts w:ascii="Calibri" w:hAnsi="Calibri"/>
        </w:rPr>
        <w:t xml:space="preserve">(including temporary or agency staff) is allowed to share any patient-identifiable information unless it has been </w:t>
      </w:r>
      <w:proofErr w:type="spellStart"/>
      <w:r w:rsidRPr="004B0FF0">
        <w:rPr>
          <w:rFonts w:ascii="Calibri" w:hAnsi="Calibri"/>
        </w:rPr>
        <w:t>authorised</w:t>
      </w:r>
      <w:proofErr w:type="spellEnd"/>
      <w:r w:rsidRPr="004B0FF0">
        <w:rPr>
          <w:rFonts w:ascii="Calibri" w:hAnsi="Calibri"/>
        </w:rPr>
        <w:t xml:space="preserve"> by </w:t>
      </w:r>
      <w:r w:rsidR="00D83103" w:rsidRPr="004B0FF0">
        <w:rPr>
          <w:rFonts w:ascii="Calibri" w:hAnsi="Calibri"/>
        </w:rPr>
        <w:t>C</w:t>
      </w:r>
      <w:r w:rsidR="00B13948">
        <w:rPr>
          <w:rFonts w:ascii="Calibri" w:hAnsi="Calibri"/>
        </w:rPr>
        <w:t>astleman Healthcare Ltd’s</w:t>
      </w:r>
      <w:r w:rsidR="00D83103" w:rsidRPr="004B0FF0">
        <w:rPr>
          <w:rFonts w:ascii="Calibri" w:hAnsi="Calibri"/>
        </w:rPr>
        <w:t xml:space="preserve"> </w:t>
      </w:r>
      <w:r w:rsidRPr="004B0FF0">
        <w:rPr>
          <w:rFonts w:ascii="Calibri" w:hAnsi="Calibri"/>
        </w:rPr>
        <w:t xml:space="preserve">Caldicott Guardian. </w:t>
      </w:r>
    </w:p>
    <w:p w14:paraId="15C910E4" w14:textId="0F1ECA94" w:rsidR="00B60DF4" w:rsidRPr="00B60DF4" w:rsidRDefault="00B60DF4" w:rsidP="00E46C2D">
      <w:pPr>
        <w:rPr>
          <w:rFonts w:ascii="Calibri" w:hAnsi="Calibri"/>
        </w:rPr>
      </w:pPr>
      <w:r>
        <w:rPr>
          <w:rFonts w:ascii="Calibri" w:hAnsi="Calibri"/>
          <w:b/>
        </w:rPr>
        <w:t>Fiona Pickering</w:t>
      </w:r>
      <w:r w:rsidRPr="00B13948">
        <w:rPr>
          <w:rFonts w:ascii="Calibri" w:hAnsi="Calibri"/>
          <w:bCs/>
        </w:rPr>
        <w:t xml:space="preserve"> </w:t>
      </w:r>
      <w:r w:rsidR="00B13948" w:rsidRPr="00B13948">
        <w:rPr>
          <w:rFonts w:ascii="Calibri" w:hAnsi="Calibri"/>
          <w:bCs/>
        </w:rPr>
        <w:t xml:space="preserve">is </w:t>
      </w:r>
      <w:r w:rsidRPr="004B0FF0">
        <w:rPr>
          <w:rFonts w:ascii="Calibri" w:hAnsi="Calibri"/>
        </w:rPr>
        <w:t xml:space="preserve">the Caldicott Guardian at </w:t>
      </w:r>
      <w:r w:rsidRPr="004B0FF0">
        <w:rPr>
          <w:rFonts w:ascii="Calibri" w:hAnsi="Calibri"/>
        </w:rPr>
        <w:fldChar w:fldCharType="begin"/>
      </w:r>
      <w:r w:rsidRPr="004B0FF0">
        <w:rPr>
          <w:rFonts w:ascii="Calibri" w:hAnsi="Calibri"/>
        </w:rPr>
        <w:instrText xml:space="preserve"> DOCPROPERTY  Company  \* MERGEFORMAT </w:instrText>
      </w:r>
      <w:r w:rsidRPr="004B0FF0">
        <w:rPr>
          <w:rFonts w:ascii="Calibri" w:hAnsi="Calibri"/>
        </w:rPr>
        <w:fldChar w:fldCharType="end"/>
      </w:r>
      <w:r>
        <w:rPr>
          <w:rFonts w:ascii="Calibri" w:hAnsi="Calibri"/>
        </w:rPr>
        <w:t>Castleman Healthcare Ltd</w:t>
      </w:r>
      <w:r w:rsidR="00B13948">
        <w:rPr>
          <w:rFonts w:ascii="Calibri" w:hAnsi="Calibri"/>
        </w:rPr>
        <w:t xml:space="preserve"> and i</w:t>
      </w:r>
      <w:r>
        <w:rPr>
          <w:rFonts w:ascii="Calibri" w:hAnsi="Calibri"/>
        </w:rPr>
        <w:t xml:space="preserve">n her </w:t>
      </w:r>
      <w:r w:rsidRPr="004B0FF0">
        <w:rPr>
          <w:rFonts w:ascii="Calibri" w:hAnsi="Calibri"/>
        </w:rPr>
        <w:t xml:space="preserve">absence </w:t>
      </w:r>
      <w:r>
        <w:rPr>
          <w:rFonts w:ascii="Calibri" w:hAnsi="Calibri"/>
        </w:rPr>
        <w:t>her</w:t>
      </w:r>
      <w:r w:rsidRPr="004B0FF0">
        <w:rPr>
          <w:rFonts w:ascii="Calibri" w:hAnsi="Calibri"/>
        </w:rPr>
        <w:t xml:space="preserve"> deputy is</w:t>
      </w:r>
      <w:r>
        <w:rPr>
          <w:rFonts w:ascii="Calibri" w:hAnsi="Calibri"/>
        </w:rPr>
        <w:t xml:space="preserve"> James Leyland</w:t>
      </w:r>
      <w:r w:rsidRPr="004B0FF0">
        <w:rPr>
          <w:rFonts w:ascii="Calibri" w:hAnsi="Calibri"/>
        </w:rPr>
        <w:t xml:space="preserve">. </w:t>
      </w:r>
    </w:p>
    <w:p w14:paraId="5D99BD96" w14:textId="77777777" w:rsidR="00B60DF4" w:rsidRPr="004B0FF0" w:rsidRDefault="00B60DF4" w:rsidP="00E46C2D">
      <w:pPr>
        <w:rPr>
          <w:rFonts w:ascii="Calibri" w:hAnsi="Calibri"/>
        </w:rPr>
      </w:pPr>
      <w:r w:rsidRPr="004B0FF0">
        <w:rPr>
          <w:rFonts w:ascii="Calibri" w:hAnsi="Calibri"/>
        </w:rPr>
        <w:t xml:space="preserve">It is unlikely that any </w:t>
      </w:r>
      <w:proofErr w:type="spellStart"/>
      <w:r w:rsidRPr="004B0FF0">
        <w:rPr>
          <w:rFonts w:ascii="Calibri" w:hAnsi="Calibri"/>
        </w:rPr>
        <w:t>authorisation</w:t>
      </w:r>
      <w:proofErr w:type="spellEnd"/>
      <w:r w:rsidRPr="004B0FF0">
        <w:rPr>
          <w:rFonts w:ascii="Calibri" w:hAnsi="Calibri"/>
        </w:rPr>
        <w:t xml:space="preserve"> to share patient-identifiable data will be granted unless the access is on a </w:t>
      </w:r>
      <w:proofErr w:type="gramStart"/>
      <w:r w:rsidRPr="004B0FF0">
        <w:rPr>
          <w:rFonts w:ascii="Calibri" w:hAnsi="Calibri"/>
        </w:rPr>
        <w:t>need to know</w:t>
      </w:r>
      <w:proofErr w:type="gramEnd"/>
      <w:r w:rsidRPr="004B0FF0">
        <w:rPr>
          <w:rFonts w:ascii="Calibri" w:hAnsi="Calibri"/>
        </w:rPr>
        <w:t xml:space="preserve"> basis and justifiable against the Caldicott principles.</w:t>
      </w:r>
    </w:p>
    <w:p w14:paraId="2D747C90" w14:textId="568AC1C8" w:rsidR="00B60DF4" w:rsidRPr="00FD14E9" w:rsidRDefault="00B60DF4" w:rsidP="00E46C2D">
      <w:pPr>
        <w:rPr>
          <w:rFonts w:ascii="Calibri" w:hAnsi="Calibri"/>
          <w:b/>
          <w:color w:val="099BDD" w:themeColor="text2"/>
        </w:rPr>
      </w:pPr>
      <w:r w:rsidRPr="00FD14E9">
        <w:rPr>
          <w:rFonts w:ascii="Calibri" w:hAnsi="Calibri"/>
          <w:b/>
          <w:color w:val="099BDD" w:themeColor="text2"/>
        </w:rPr>
        <w:t>The Caldicott standard is based on the following six principles:</w:t>
      </w:r>
    </w:p>
    <w:p w14:paraId="274E3558" w14:textId="77777777" w:rsidR="00B60DF4" w:rsidRPr="00FD14E9" w:rsidRDefault="00B60DF4" w:rsidP="00E46C2D">
      <w:pPr>
        <w:pStyle w:val="ListParagraph"/>
        <w:numPr>
          <w:ilvl w:val="0"/>
          <w:numId w:val="12"/>
        </w:numPr>
        <w:spacing w:before="0" w:after="0" w:line="240" w:lineRule="auto"/>
        <w:rPr>
          <w:rFonts w:ascii="Calibri" w:hAnsi="Calibri"/>
          <w:b/>
          <w:color w:val="099BDD" w:themeColor="text2"/>
        </w:rPr>
      </w:pPr>
      <w:r w:rsidRPr="00FD14E9">
        <w:rPr>
          <w:rFonts w:ascii="Calibri" w:hAnsi="Calibri"/>
          <w:b/>
          <w:color w:val="099BDD" w:themeColor="text2"/>
        </w:rPr>
        <w:t>Justify the purpose(s)</w:t>
      </w:r>
    </w:p>
    <w:p w14:paraId="70B45017" w14:textId="77777777" w:rsidR="00B60DF4" w:rsidRDefault="00B60DF4" w:rsidP="00E46C2D">
      <w:pPr>
        <w:spacing w:before="0" w:after="0" w:line="240" w:lineRule="auto"/>
        <w:rPr>
          <w:rFonts w:ascii="Calibri" w:hAnsi="Calibri"/>
        </w:rPr>
      </w:pPr>
    </w:p>
    <w:p w14:paraId="68DB7D85" w14:textId="7E612ACF" w:rsidR="00B60DF4" w:rsidRDefault="00B60DF4" w:rsidP="00E46C2D">
      <w:pPr>
        <w:spacing w:before="0" w:after="0" w:line="240" w:lineRule="auto"/>
        <w:rPr>
          <w:rFonts w:ascii="Calibri" w:hAnsi="Calibri"/>
        </w:rPr>
      </w:pPr>
      <w:r w:rsidRPr="004B0FF0">
        <w:rPr>
          <w:rFonts w:ascii="Calibri" w:hAnsi="Calibri"/>
        </w:rPr>
        <w:t xml:space="preserve">Every proposed use or transfer of patient-identifiable information within or from an </w:t>
      </w:r>
      <w:proofErr w:type="spellStart"/>
      <w:r w:rsidRPr="004B0FF0">
        <w:rPr>
          <w:rFonts w:ascii="Calibri" w:hAnsi="Calibri"/>
        </w:rPr>
        <w:t>organisation</w:t>
      </w:r>
      <w:proofErr w:type="spellEnd"/>
      <w:r w:rsidRPr="004B0FF0">
        <w:rPr>
          <w:rFonts w:ascii="Calibri" w:hAnsi="Calibri"/>
        </w:rPr>
        <w:t xml:space="preserve"> should be clearly defined and </w:t>
      </w:r>
      <w:proofErr w:type="spellStart"/>
      <w:r w:rsidRPr="004B0FF0">
        <w:rPr>
          <w:rFonts w:ascii="Calibri" w:hAnsi="Calibri"/>
        </w:rPr>
        <w:t>scrutinised</w:t>
      </w:r>
      <w:proofErr w:type="spellEnd"/>
      <w:r w:rsidRPr="004B0FF0">
        <w:rPr>
          <w:rFonts w:ascii="Calibri" w:hAnsi="Calibri"/>
        </w:rPr>
        <w:t>, with continuing uses regularly reviewed by an appropriate guardian.</w:t>
      </w:r>
    </w:p>
    <w:p w14:paraId="6865BD5D" w14:textId="77777777" w:rsidR="00B60DF4" w:rsidRDefault="00B60DF4" w:rsidP="00E46C2D">
      <w:pPr>
        <w:spacing w:before="0" w:after="0" w:line="240" w:lineRule="auto"/>
        <w:rPr>
          <w:rFonts w:ascii="Calibri" w:hAnsi="Calibri"/>
        </w:rPr>
      </w:pPr>
    </w:p>
    <w:p w14:paraId="7B4A0C6A" w14:textId="0F113EF9" w:rsidR="00B60DF4" w:rsidRPr="00FD14E9" w:rsidRDefault="00B60DF4" w:rsidP="00E46C2D">
      <w:pPr>
        <w:pStyle w:val="ListParagraph"/>
        <w:numPr>
          <w:ilvl w:val="0"/>
          <w:numId w:val="12"/>
        </w:numPr>
        <w:spacing w:before="0" w:after="0" w:line="240" w:lineRule="auto"/>
        <w:rPr>
          <w:rFonts w:ascii="Calibri" w:hAnsi="Calibri"/>
          <w:b/>
          <w:color w:val="099BDD" w:themeColor="text2"/>
        </w:rPr>
      </w:pPr>
      <w:r w:rsidRPr="00FD14E9">
        <w:rPr>
          <w:rFonts w:ascii="Calibri" w:hAnsi="Calibri"/>
          <w:b/>
          <w:color w:val="099BDD" w:themeColor="text2"/>
        </w:rPr>
        <w:t xml:space="preserve">Don’t use patient-identifiable information unless it is absolutely necessary </w:t>
      </w:r>
    </w:p>
    <w:p w14:paraId="420D630E" w14:textId="77777777" w:rsidR="00B60DF4" w:rsidRDefault="00B60DF4" w:rsidP="00E46C2D">
      <w:pPr>
        <w:spacing w:before="0" w:after="0" w:line="240" w:lineRule="auto"/>
        <w:rPr>
          <w:rFonts w:ascii="Calibri" w:hAnsi="Calibri"/>
        </w:rPr>
      </w:pPr>
    </w:p>
    <w:p w14:paraId="476B5605" w14:textId="7C3DB9E4" w:rsidR="00B60DF4" w:rsidRDefault="00B60DF4" w:rsidP="00E46C2D">
      <w:pPr>
        <w:spacing w:before="0" w:after="0" w:line="240" w:lineRule="auto"/>
        <w:rPr>
          <w:rFonts w:ascii="Calibri" w:hAnsi="Calibri"/>
        </w:rPr>
      </w:pPr>
      <w:r w:rsidRPr="004B0FF0">
        <w:rPr>
          <w:rFonts w:ascii="Calibri" w:hAnsi="Calibri"/>
        </w:rPr>
        <w:t>Patient-identifiable information items should not be included unless it is essential for the specified purpose(s) of that flow. The need for patients to be identified should be considered at each stage of satisfying the purpose(s).</w:t>
      </w:r>
    </w:p>
    <w:p w14:paraId="0466A2FB" w14:textId="628C060F" w:rsidR="00B60DF4" w:rsidRDefault="00B60DF4" w:rsidP="00E46C2D">
      <w:pPr>
        <w:spacing w:before="0" w:after="0" w:line="240" w:lineRule="auto"/>
        <w:rPr>
          <w:rFonts w:ascii="Calibri" w:hAnsi="Calibri"/>
        </w:rPr>
      </w:pPr>
    </w:p>
    <w:p w14:paraId="55EE9B35" w14:textId="2EADE0C8" w:rsidR="00B60DF4" w:rsidRPr="00FD14E9" w:rsidRDefault="00B60DF4" w:rsidP="00E46C2D">
      <w:pPr>
        <w:pStyle w:val="ListParagraph"/>
        <w:numPr>
          <w:ilvl w:val="0"/>
          <w:numId w:val="12"/>
        </w:numPr>
        <w:spacing w:before="0" w:after="0" w:line="240" w:lineRule="auto"/>
        <w:rPr>
          <w:rFonts w:ascii="Calibri" w:hAnsi="Calibri"/>
          <w:b/>
          <w:color w:val="099BDD" w:themeColor="text2"/>
        </w:rPr>
      </w:pPr>
      <w:r w:rsidRPr="00FD14E9">
        <w:rPr>
          <w:rFonts w:ascii="Calibri" w:hAnsi="Calibri"/>
          <w:b/>
          <w:color w:val="099BDD" w:themeColor="text2"/>
        </w:rPr>
        <w:t xml:space="preserve">Use the minimum necessary patient-identifiable information </w:t>
      </w:r>
    </w:p>
    <w:p w14:paraId="4EA36F96" w14:textId="06C22EDA" w:rsidR="00B60DF4" w:rsidRDefault="00B60DF4" w:rsidP="00E46C2D">
      <w:pPr>
        <w:spacing w:before="0" w:after="0" w:line="240" w:lineRule="auto"/>
        <w:rPr>
          <w:rFonts w:ascii="Calibri" w:hAnsi="Calibri"/>
        </w:rPr>
      </w:pPr>
      <w:r>
        <w:rPr>
          <w:rFonts w:ascii="Calibri" w:hAnsi="Calibri"/>
        </w:rPr>
        <w:t xml:space="preserve"> </w:t>
      </w:r>
    </w:p>
    <w:p w14:paraId="7BCFDD92" w14:textId="3DC52183" w:rsidR="00B60DF4" w:rsidRPr="004B0FF0" w:rsidRDefault="00B60DF4" w:rsidP="00E46C2D">
      <w:pPr>
        <w:spacing w:before="0" w:after="0" w:line="240" w:lineRule="auto"/>
        <w:rPr>
          <w:rFonts w:ascii="Calibri" w:hAnsi="Calibri"/>
        </w:rPr>
      </w:pPr>
      <w:r w:rsidRPr="004B0FF0">
        <w:rPr>
          <w:rFonts w:ascii="Calibri" w:hAnsi="Calibri"/>
        </w:rPr>
        <w:t>Where use of patient-identifiable information is considered to be essential, the inclusion of each individual item of information should be considered and justified so that the minimum amount of identifiable information is transferred or accessible as is necessary for a given function to be carried out.</w:t>
      </w:r>
    </w:p>
    <w:p w14:paraId="09CA861C" w14:textId="77777777" w:rsidR="00B60DF4" w:rsidRDefault="00B60DF4" w:rsidP="00E46C2D">
      <w:pPr>
        <w:spacing w:before="0" w:after="0" w:line="240" w:lineRule="auto"/>
        <w:rPr>
          <w:rStyle w:val="Heading3Char"/>
          <w:rFonts w:ascii="Calibri" w:hAnsi="Calibri"/>
        </w:rPr>
      </w:pPr>
    </w:p>
    <w:p w14:paraId="63770CB7" w14:textId="7F23A6C1" w:rsidR="00B60DF4" w:rsidRPr="00FD14E9" w:rsidRDefault="00B60DF4" w:rsidP="00E46C2D">
      <w:pPr>
        <w:pStyle w:val="ListParagraph"/>
        <w:numPr>
          <w:ilvl w:val="0"/>
          <w:numId w:val="12"/>
        </w:numPr>
        <w:spacing w:before="0" w:after="0" w:line="240" w:lineRule="auto"/>
        <w:rPr>
          <w:rFonts w:ascii="Calibri" w:hAnsi="Calibri"/>
          <w:b/>
          <w:color w:val="099BDD" w:themeColor="text2"/>
        </w:rPr>
      </w:pPr>
      <w:r w:rsidRPr="00FD14E9">
        <w:rPr>
          <w:rFonts w:ascii="Calibri" w:hAnsi="Calibri"/>
          <w:b/>
          <w:color w:val="099BDD" w:themeColor="text2"/>
        </w:rPr>
        <w:t xml:space="preserve">Access to patient-identifiable information should be on a strict need-to-know basis </w:t>
      </w:r>
    </w:p>
    <w:p w14:paraId="6860DCAF" w14:textId="77777777" w:rsidR="00B60DF4" w:rsidRDefault="00B60DF4" w:rsidP="00E46C2D">
      <w:pPr>
        <w:spacing w:before="0" w:after="0" w:line="240" w:lineRule="auto"/>
        <w:rPr>
          <w:rFonts w:ascii="Calibri" w:hAnsi="Calibri"/>
        </w:rPr>
      </w:pPr>
    </w:p>
    <w:p w14:paraId="70742F7C" w14:textId="692FC336" w:rsidR="00B60DF4" w:rsidRPr="004B0FF0" w:rsidRDefault="00B60DF4" w:rsidP="00E46C2D">
      <w:pPr>
        <w:spacing w:before="0" w:after="0" w:line="240" w:lineRule="auto"/>
        <w:rPr>
          <w:rFonts w:ascii="Calibri" w:hAnsi="Calibri"/>
        </w:rPr>
      </w:pPr>
      <w:r w:rsidRPr="004B0FF0">
        <w:rPr>
          <w:rFonts w:ascii="Calibri" w:hAnsi="Calibri"/>
        </w:rPr>
        <w:t>Only those individuals who need access to patient-identifiable information should have access to it, and they should only have access to the information items that they need to see. This may mean introducing access controls or splitting information flows where one information flow is used for several purposes.</w:t>
      </w:r>
    </w:p>
    <w:p w14:paraId="30D15560" w14:textId="5F951CFD" w:rsidR="00B60DF4" w:rsidRDefault="00B60DF4" w:rsidP="00E46C2D">
      <w:pPr>
        <w:spacing w:before="0" w:after="0" w:line="240" w:lineRule="auto"/>
        <w:rPr>
          <w:rFonts w:ascii="Calibri" w:hAnsi="Calibri"/>
        </w:rPr>
      </w:pPr>
    </w:p>
    <w:p w14:paraId="0B3C717D" w14:textId="77777777" w:rsidR="00B60DF4" w:rsidRPr="00FD14E9" w:rsidRDefault="00B60DF4" w:rsidP="00E46C2D">
      <w:pPr>
        <w:pStyle w:val="ListParagraph"/>
        <w:numPr>
          <w:ilvl w:val="0"/>
          <w:numId w:val="12"/>
        </w:numPr>
        <w:spacing w:before="0" w:after="0" w:line="240" w:lineRule="auto"/>
        <w:rPr>
          <w:rFonts w:ascii="Calibri" w:hAnsi="Calibri"/>
          <w:b/>
          <w:color w:val="099BDD" w:themeColor="text2"/>
        </w:rPr>
      </w:pPr>
      <w:r w:rsidRPr="00FD14E9">
        <w:rPr>
          <w:rFonts w:ascii="Calibri" w:hAnsi="Calibri"/>
          <w:b/>
          <w:color w:val="099BDD" w:themeColor="text2"/>
        </w:rPr>
        <w:t xml:space="preserve">Everyone with access to patient-identifiable information should be aware of their responsibilities </w:t>
      </w:r>
    </w:p>
    <w:p w14:paraId="5EE11B61" w14:textId="77777777" w:rsidR="00B60DF4" w:rsidRDefault="00B60DF4" w:rsidP="00E46C2D">
      <w:pPr>
        <w:spacing w:before="0" w:after="0" w:line="240" w:lineRule="auto"/>
        <w:rPr>
          <w:rFonts w:ascii="Calibri" w:hAnsi="Calibri"/>
        </w:rPr>
      </w:pPr>
    </w:p>
    <w:p w14:paraId="344E9538" w14:textId="28DA6F00" w:rsidR="00B60DF4" w:rsidRPr="004B0FF0" w:rsidRDefault="00B60DF4" w:rsidP="00E46C2D">
      <w:pPr>
        <w:spacing w:before="0" w:after="0" w:line="240" w:lineRule="auto"/>
        <w:rPr>
          <w:rFonts w:ascii="Calibri" w:hAnsi="Calibri"/>
        </w:rPr>
      </w:pPr>
      <w:r w:rsidRPr="004B0FF0">
        <w:rPr>
          <w:rFonts w:ascii="Calibri" w:hAnsi="Calibri"/>
        </w:rPr>
        <w:t>Action should be taken to ensure that those handling patient-identifiable information - both clinical and non-clinical staff - are made fully aware of their responsibilities and obligations to respect patient confidentiality.</w:t>
      </w:r>
    </w:p>
    <w:p w14:paraId="1FEAA7FB" w14:textId="2B4E4A10" w:rsidR="00B60DF4" w:rsidRDefault="00B60DF4" w:rsidP="00E46C2D">
      <w:pPr>
        <w:spacing w:before="0" w:after="0" w:line="240" w:lineRule="auto"/>
        <w:rPr>
          <w:rStyle w:val="Heading3Char"/>
          <w:rFonts w:ascii="Calibri" w:hAnsi="Calibri"/>
        </w:rPr>
      </w:pPr>
    </w:p>
    <w:p w14:paraId="3CCF76D9" w14:textId="77777777" w:rsidR="00B60DF4" w:rsidRPr="00FD14E9" w:rsidRDefault="00B60DF4" w:rsidP="00FD14E9">
      <w:pPr>
        <w:pStyle w:val="ListParagraph"/>
        <w:numPr>
          <w:ilvl w:val="0"/>
          <w:numId w:val="12"/>
        </w:numPr>
        <w:spacing w:before="0" w:after="0" w:line="240" w:lineRule="auto"/>
        <w:jc w:val="both"/>
        <w:rPr>
          <w:rFonts w:ascii="Calibri" w:hAnsi="Calibri"/>
          <w:b/>
          <w:color w:val="099BDD" w:themeColor="text2"/>
        </w:rPr>
      </w:pPr>
      <w:r w:rsidRPr="00FD14E9">
        <w:rPr>
          <w:rFonts w:ascii="Calibri" w:hAnsi="Calibri"/>
          <w:b/>
          <w:color w:val="099BDD" w:themeColor="text2"/>
        </w:rPr>
        <w:t>Understand and comply with the law</w:t>
      </w:r>
    </w:p>
    <w:p w14:paraId="287AD0F6" w14:textId="77777777" w:rsidR="00B60DF4" w:rsidRDefault="00B60DF4" w:rsidP="00B60DF4">
      <w:pPr>
        <w:spacing w:before="0" w:after="0" w:line="240" w:lineRule="auto"/>
        <w:jc w:val="both"/>
        <w:rPr>
          <w:rFonts w:ascii="Calibri" w:hAnsi="Calibri"/>
        </w:rPr>
      </w:pPr>
    </w:p>
    <w:p w14:paraId="45BF51D8" w14:textId="7E0F3540" w:rsidR="00B60DF4" w:rsidRDefault="00B60DF4" w:rsidP="00B60DF4">
      <w:pPr>
        <w:spacing w:before="0" w:after="0" w:line="240" w:lineRule="auto"/>
        <w:jc w:val="both"/>
        <w:rPr>
          <w:rFonts w:ascii="Calibri" w:hAnsi="Calibri"/>
        </w:rPr>
      </w:pPr>
      <w:r w:rsidRPr="004B0FF0">
        <w:rPr>
          <w:rFonts w:ascii="Calibri" w:hAnsi="Calibri"/>
        </w:rPr>
        <w:t xml:space="preserve">Every use of patient-identifiable information must be lawful. Someone in each </w:t>
      </w:r>
      <w:proofErr w:type="spellStart"/>
      <w:r w:rsidRPr="004B0FF0">
        <w:rPr>
          <w:rFonts w:ascii="Calibri" w:hAnsi="Calibri"/>
        </w:rPr>
        <w:t>organisation</w:t>
      </w:r>
      <w:proofErr w:type="spellEnd"/>
      <w:r w:rsidRPr="004B0FF0">
        <w:rPr>
          <w:rFonts w:ascii="Calibri" w:hAnsi="Calibri"/>
        </w:rPr>
        <w:t xml:space="preserve"> handling patient information should be responsible for ensuring that the </w:t>
      </w:r>
      <w:proofErr w:type="spellStart"/>
      <w:r w:rsidRPr="004B0FF0">
        <w:rPr>
          <w:rFonts w:ascii="Calibri" w:hAnsi="Calibri"/>
        </w:rPr>
        <w:t>organisation</w:t>
      </w:r>
      <w:proofErr w:type="spellEnd"/>
      <w:r w:rsidRPr="004B0FF0">
        <w:rPr>
          <w:rFonts w:ascii="Calibri" w:hAnsi="Calibri"/>
        </w:rPr>
        <w:t xml:space="preserve"> complies with legal requirements.</w:t>
      </w:r>
    </w:p>
    <w:p w14:paraId="37812500" w14:textId="77777777" w:rsidR="00FD14E9" w:rsidRDefault="00FD14E9" w:rsidP="00B60DF4">
      <w:pPr>
        <w:spacing w:before="0" w:after="0" w:line="240" w:lineRule="auto"/>
        <w:jc w:val="both"/>
        <w:rPr>
          <w:rFonts w:ascii="Calibri" w:hAnsi="Calibri"/>
        </w:rPr>
      </w:pPr>
    </w:p>
    <w:p w14:paraId="05BEB384" w14:textId="6AE7B84A" w:rsidR="00FD14E9" w:rsidRPr="004B0FF0" w:rsidRDefault="00FD14E9" w:rsidP="00FD14E9">
      <w:pPr>
        <w:pStyle w:val="Heading1"/>
      </w:pPr>
      <w:r w:rsidRPr="004B0FF0">
        <w:t>Caldicott Guardian Role</w:t>
      </w:r>
    </w:p>
    <w:p w14:paraId="7FF97816" w14:textId="3BB1225E" w:rsidR="00FD14E9" w:rsidRPr="00D7741E" w:rsidRDefault="00FD14E9" w:rsidP="00E46C2D">
      <w:pPr>
        <w:rPr>
          <w:rFonts w:ascii="Calibri" w:hAnsi="Calibri"/>
          <w:b/>
        </w:rPr>
      </w:pPr>
      <w:r>
        <w:rPr>
          <w:rFonts w:ascii="Calibri" w:hAnsi="Calibri"/>
        </w:rPr>
        <w:t>Castleman Healthcare Ltd ha</w:t>
      </w:r>
      <w:r w:rsidRPr="004B0FF0">
        <w:rPr>
          <w:rFonts w:ascii="Calibri" w:hAnsi="Calibri"/>
        </w:rPr>
        <w:t xml:space="preserve">s appointed </w:t>
      </w:r>
      <w:r w:rsidRPr="00FD14E9">
        <w:rPr>
          <w:rFonts w:ascii="Calibri" w:hAnsi="Calibri"/>
        </w:rPr>
        <w:t>Fiona Pickering as its Caldicott Guardian</w:t>
      </w:r>
      <w:r w:rsidR="00B13948">
        <w:rPr>
          <w:rFonts w:ascii="Calibri" w:hAnsi="Calibri"/>
        </w:rPr>
        <w:t>.</w:t>
      </w:r>
    </w:p>
    <w:p w14:paraId="2080D97B" w14:textId="77777777" w:rsidR="00FD14E9" w:rsidRPr="004B0FF0" w:rsidRDefault="00FD14E9" w:rsidP="00E46C2D">
      <w:pPr>
        <w:rPr>
          <w:rFonts w:ascii="Calibri" w:hAnsi="Calibri"/>
        </w:rPr>
      </w:pPr>
      <w:r w:rsidRPr="004B0FF0">
        <w:rPr>
          <w:rFonts w:ascii="Calibri" w:hAnsi="Calibri"/>
        </w:rPr>
        <w:t>The Guardian is responsible for the establishment of procedures governing access to, and the use of patient-identifiable information and, where appropriate, the transfer of that information to other bodies.</w:t>
      </w:r>
    </w:p>
    <w:p w14:paraId="0A241655" w14:textId="77777777" w:rsidR="00FD14E9" w:rsidRPr="004B0FF0" w:rsidRDefault="00FD14E9" w:rsidP="00E46C2D">
      <w:pPr>
        <w:rPr>
          <w:rFonts w:ascii="Calibri" w:hAnsi="Calibri"/>
        </w:rPr>
      </w:pPr>
      <w:r w:rsidRPr="004B0FF0">
        <w:rPr>
          <w:rFonts w:ascii="Calibri" w:hAnsi="Calibri"/>
        </w:rPr>
        <w:t>In addition to the principles developed in the Caldicott Report, the Guardian must also take account of the codes of conduct provided by professional bodies, and guidance on the Protection and Use of Patient Information and on IM&amp;T security disseminated by the Department of Health.</w:t>
      </w:r>
    </w:p>
    <w:p w14:paraId="25797BC5" w14:textId="77777777" w:rsidR="00FD14E9" w:rsidRPr="004B0FF0" w:rsidRDefault="00FD14E9" w:rsidP="00E46C2D">
      <w:pPr>
        <w:rPr>
          <w:rFonts w:ascii="Calibri" w:hAnsi="Calibri"/>
        </w:rPr>
      </w:pPr>
      <w:r w:rsidRPr="004B0FF0">
        <w:rPr>
          <w:rFonts w:ascii="Calibri" w:hAnsi="Calibri"/>
        </w:rPr>
        <w:t xml:space="preserve">They must also, where necessary, provide advice and support to staff working within </w:t>
      </w:r>
      <w:r>
        <w:rPr>
          <w:rFonts w:ascii="Calibri" w:hAnsi="Calibri"/>
        </w:rPr>
        <w:t xml:space="preserve">Castleman Healthcare Ltd </w:t>
      </w:r>
      <w:r w:rsidRPr="004B0FF0">
        <w:rPr>
          <w:rFonts w:ascii="Calibri" w:hAnsi="Calibri"/>
        </w:rPr>
        <w:t>on all aspects of Caldicott, sharing and disclosure of patient-identifiable patient information and related legislation.</w:t>
      </w:r>
    </w:p>
    <w:p w14:paraId="408DF395" w14:textId="77777777" w:rsidR="00FD14E9" w:rsidRPr="004B0FF0" w:rsidRDefault="00FD14E9" w:rsidP="00FD14E9">
      <w:pPr>
        <w:pStyle w:val="Heading1"/>
      </w:pPr>
      <w:r w:rsidRPr="004B0FF0">
        <w:t>Duties and Responsibilities</w:t>
      </w:r>
    </w:p>
    <w:p w14:paraId="20C66BC1" w14:textId="77777777" w:rsidR="00FD14E9" w:rsidRPr="00D7741E" w:rsidRDefault="00FD14E9" w:rsidP="00FD14E9">
      <w:pPr>
        <w:rPr>
          <w:b/>
          <w:color w:val="099BDD" w:themeColor="text2"/>
        </w:rPr>
      </w:pPr>
      <w:r w:rsidRPr="00D7741E">
        <w:rPr>
          <w:b/>
          <w:color w:val="099BDD" w:themeColor="text2"/>
        </w:rPr>
        <w:t>Production of Procedures, Guidelines and Protocols</w:t>
      </w:r>
    </w:p>
    <w:p w14:paraId="77208FAB" w14:textId="77777777" w:rsidR="00FD14E9" w:rsidRPr="00D7741E" w:rsidRDefault="00FD14E9" w:rsidP="00E46C2D">
      <w:pPr>
        <w:numPr>
          <w:ilvl w:val="0"/>
          <w:numId w:val="7"/>
        </w:numPr>
        <w:spacing w:before="0" w:after="0"/>
        <w:rPr>
          <w:rFonts w:ascii="Calibri" w:hAnsi="Calibri"/>
        </w:rPr>
      </w:pPr>
      <w:r w:rsidRPr="004B0FF0">
        <w:rPr>
          <w:rFonts w:ascii="Calibri" w:hAnsi="Calibri"/>
        </w:rPr>
        <w:t>To develop and implement procedures to ensure that all routine uses of patient-identifiable data are identified and documented and that their use has been established as being justified.</w:t>
      </w:r>
    </w:p>
    <w:p w14:paraId="37349B0B" w14:textId="77777777" w:rsidR="00FD14E9" w:rsidRPr="00D7741E" w:rsidRDefault="00FD14E9" w:rsidP="00E46C2D">
      <w:pPr>
        <w:numPr>
          <w:ilvl w:val="0"/>
          <w:numId w:val="7"/>
        </w:numPr>
        <w:spacing w:before="0" w:after="0"/>
        <w:rPr>
          <w:rFonts w:ascii="Calibri" w:hAnsi="Calibri"/>
        </w:rPr>
      </w:pPr>
      <w:r w:rsidRPr="004B0FF0">
        <w:rPr>
          <w:rFonts w:ascii="Calibri" w:hAnsi="Calibri"/>
        </w:rPr>
        <w:t>To develop and implement criteria and a process for dealing with ad-hoc requests for patient-identifiable patient data for non-clinical purposes.</w:t>
      </w:r>
    </w:p>
    <w:p w14:paraId="782CBBA6" w14:textId="77777777" w:rsidR="00FD14E9" w:rsidRPr="00D7741E" w:rsidRDefault="00FD14E9" w:rsidP="00E46C2D">
      <w:pPr>
        <w:numPr>
          <w:ilvl w:val="0"/>
          <w:numId w:val="7"/>
        </w:numPr>
        <w:spacing w:before="0" w:after="0"/>
        <w:rPr>
          <w:rFonts w:ascii="Calibri" w:hAnsi="Calibri"/>
        </w:rPr>
      </w:pPr>
      <w:r w:rsidRPr="004B0FF0">
        <w:rPr>
          <w:rFonts w:ascii="Calibri" w:hAnsi="Calibri"/>
        </w:rPr>
        <w:t xml:space="preserve">To establish Information Sharing Protocols to govern the use and sharing of patient-identifiable data between </w:t>
      </w:r>
      <w:proofErr w:type="spellStart"/>
      <w:r w:rsidRPr="004B0FF0">
        <w:rPr>
          <w:rFonts w:ascii="Calibri" w:hAnsi="Calibri"/>
        </w:rPr>
        <w:t>organisations</w:t>
      </w:r>
      <w:proofErr w:type="spellEnd"/>
      <w:r w:rsidRPr="004B0FF0">
        <w:rPr>
          <w:rFonts w:ascii="Calibri" w:hAnsi="Calibri"/>
        </w:rPr>
        <w:t xml:space="preserve"> both within and outside the NHS.</w:t>
      </w:r>
    </w:p>
    <w:p w14:paraId="6727DA85" w14:textId="77777777" w:rsidR="00FD14E9" w:rsidRPr="00D7741E" w:rsidRDefault="00FD14E9" w:rsidP="00E46C2D">
      <w:pPr>
        <w:numPr>
          <w:ilvl w:val="0"/>
          <w:numId w:val="7"/>
        </w:numPr>
        <w:spacing w:before="0" w:after="0"/>
        <w:rPr>
          <w:rFonts w:ascii="Calibri" w:hAnsi="Calibri"/>
        </w:rPr>
      </w:pPr>
      <w:r w:rsidRPr="004B0FF0">
        <w:rPr>
          <w:rFonts w:ascii="Calibri" w:hAnsi="Calibri"/>
        </w:rPr>
        <w:t>To ensure standard procedures and protocols are in place to govern access to patient-identifiable data.</w:t>
      </w:r>
    </w:p>
    <w:p w14:paraId="7EF70D09" w14:textId="77777777" w:rsidR="00FD14E9" w:rsidRPr="00D7741E" w:rsidRDefault="00FD14E9" w:rsidP="00E46C2D">
      <w:pPr>
        <w:rPr>
          <w:b/>
          <w:color w:val="099BDD" w:themeColor="text2"/>
        </w:rPr>
      </w:pPr>
      <w:r w:rsidRPr="00D7741E">
        <w:rPr>
          <w:b/>
          <w:color w:val="099BDD" w:themeColor="text2"/>
        </w:rPr>
        <w:t>Staff Information</w:t>
      </w:r>
    </w:p>
    <w:p w14:paraId="66BC019C" w14:textId="77777777" w:rsidR="00FD14E9" w:rsidRPr="004B0FF0" w:rsidRDefault="00FD14E9" w:rsidP="00E46C2D">
      <w:pPr>
        <w:numPr>
          <w:ilvl w:val="0"/>
          <w:numId w:val="8"/>
        </w:numPr>
        <w:spacing w:before="0" w:after="0"/>
        <w:rPr>
          <w:rFonts w:ascii="Calibri" w:hAnsi="Calibri"/>
        </w:rPr>
      </w:pPr>
      <w:r w:rsidRPr="004B0FF0">
        <w:rPr>
          <w:rFonts w:ascii="Calibri" w:hAnsi="Calibri"/>
        </w:rPr>
        <w:t>To ensure standard procedures and protocols are in an understandable format and available to all staff</w:t>
      </w:r>
    </w:p>
    <w:p w14:paraId="5596BAE0" w14:textId="77777777" w:rsidR="00FD14E9" w:rsidRPr="00D7741E" w:rsidRDefault="00FD14E9" w:rsidP="00E46C2D">
      <w:pPr>
        <w:numPr>
          <w:ilvl w:val="0"/>
          <w:numId w:val="8"/>
        </w:numPr>
        <w:spacing w:before="0" w:after="0"/>
        <w:rPr>
          <w:rFonts w:ascii="Calibri" w:hAnsi="Calibri"/>
        </w:rPr>
      </w:pPr>
      <w:r w:rsidRPr="004B0FF0">
        <w:rPr>
          <w:rFonts w:ascii="Calibri" w:hAnsi="Calibri"/>
        </w:rPr>
        <w:t>Raise awareness through training and education to ensure that the standards of good practice and Caldicott principles are understood and adhered to.</w:t>
      </w:r>
    </w:p>
    <w:p w14:paraId="128C1139" w14:textId="77777777" w:rsidR="00FD14E9" w:rsidRPr="00D83103" w:rsidRDefault="00FD14E9" w:rsidP="00E46C2D">
      <w:pPr>
        <w:numPr>
          <w:ilvl w:val="0"/>
          <w:numId w:val="8"/>
        </w:numPr>
        <w:spacing w:before="0" w:after="0"/>
        <w:rPr>
          <w:rFonts w:ascii="Calibri" w:hAnsi="Calibri"/>
        </w:rPr>
      </w:pPr>
      <w:r w:rsidRPr="004B0FF0">
        <w:rPr>
          <w:rFonts w:ascii="Calibri" w:hAnsi="Calibri"/>
        </w:rPr>
        <w:t>Advise project leads on all aspects of Caldicott, acting as an expert resource for them.</w:t>
      </w:r>
    </w:p>
    <w:p w14:paraId="227D7620" w14:textId="77777777" w:rsidR="00FD14E9" w:rsidRPr="00D7741E" w:rsidRDefault="00FD14E9" w:rsidP="00E46C2D">
      <w:pPr>
        <w:rPr>
          <w:b/>
          <w:color w:val="099BDD" w:themeColor="text2"/>
        </w:rPr>
      </w:pPr>
      <w:r w:rsidRPr="00D7741E">
        <w:rPr>
          <w:b/>
          <w:color w:val="099BDD" w:themeColor="text2"/>
        </w:rPr>
        <w:t>Reporting</w:t>
      </w:r>
    </w:p>
    <w:p w14:paraId="422968DD" w14:textId="778ECA77" w:rsidR="00FD14E9" w:rsidRDefault="00FD14E9" w:rsidP="00E46C2D">
      <w:pPr>
        <w:numPr>
          <w:ilvl w:val="0"/>
          <w:numId w:val="9"/>
        </w:numPr>
        <w:spacing w:before="0" w:after="0"/>
        <w:rPr>
          <w:rFonts w:ascii="Calibri" w:hAnsi="Calibri"/>
        </w:rPr>
      </w:pPr>
      <w:r w:rsidRPr="004B0FF0">
        <w:rPr>
          <w:rFonts w:ascii="Calibri" w:hAnsi="Calibri"/>
        </w:rPr>
        <w:t>To bring to the attention of the relevant manager any occasion where the appropriate procedures, guidelines and protocols may have not been followed.</w:t>
      </w:r>
    </w:p>
    <w:p w14:paraId="3BFA28D3" w14:textId="77777777" w:rsidR="00B13948" w:rsidRDefault="00B13948" w:rsidP="00E46C2D">
      <w:pPr>
        <w:spacing w:before="0" w:after="0"/>
        <w:ind w:left="720"/>
        <w:rPr>
          <w:rFonts w:ascii="Calibri" w:hAnsi="Calibri"/>
        </w:rPr>
      </w:pPr>
    </w:p>
    <w:p w14:paraId="49A8CBD0" w14:textId="77777777" w:rsidR="00FD14E9" w:rsidRDefault="00FD14E9" w:rsidP="00E46C2D">
      <w:pPr>
        <w:numPr>
          <w:ilvl w:val="0"/>
          <w:numId w:val="9"/>
        </w:numPr>
        <w:spacing w:before="0" w:after="0"/>
        <w:rPr>
          <w:rFonts w:ascii="Calibri" w:hAnsi="Calibri"/>
        </w:rPr>
      </w:pPr>
      <w:r w:rsidRPr="00D7741E">
        <w:rPr>
          <w:rFonts w:ascii="Calibri" w:hAnsi="Calibri"/>
        </w:rPr>
        <w:t>To raise concerns about any inappropriate uses of patient-identifiable data with external bodies where necessary.</w:t>
      </w:r>
    </w:p>
    <w:p w14:paraId="6B9FC91F" w14:textId="4C58C065" w:rsidR="00FD14E9" w:rsidRDefault="00FD14E9" w:rsidP="00E46C2D">
      <w:pPr>
        <w:numPr>
          <w:ilvl w:val="0"/>
          <w:numId w:val="9"/>
        </w:numPr>
        <w:spacing w:before="0" w:after="0"/>
        <w:rPr>
          <w:rFonts w:ascii="Calibri" w:hAnsi="Calibri"/>
        </w:rPr>
      </w:pPr>
      <w:r w:rsidRPr="00D7741E">
        <w:rPr>
          <w:rFonts w:ascii="Calibri" w:hAnsi="Calibri"/>
        </w:rPr>
        <w:t>On an annual basis, to participate in the Information Governance Toolkit Assessment</w:t>
      </w:r>
      <w:r w:rsidR="00B13948">
        <w:rPr>
          <w:rFonts w:ascii="Calibri" w:hAnsi="Calibri"/>
        </w:rPr>
        <w:t>.</w:t>
      </w:r>
    </w:p>
    <w:p w14:paraId="03D9BEB5" w14:textId="77777777" w:rsidR="00E46C2D" w:rsidRDefault="00E46C2D" w:rsidP="00E46C2D">
      <w:pPr>
        <w:spacing w:before="0" w:after="0"/>
        <w:ind w:left="720"/>
        <w:rPr>
          <w:rFonts w:ascii="Calibri" w:hAnsi="Calibri"/>
        </w:rPr>
      </w:pPr>
    </w:p>
    <w:p w14:paraId="3C427D6E" w14:textId="77777777" w:rsidR="00FD14E9" w:rsidRPr="00D7741E" w:rsidRDefault="00FD14E9" w:rsidP="00E46C2D">
      <w:pPr>
        <w:spacing w:before="0"/>
        <w:rPr>
          <w:b/>
          <w:color w:val="099BDD" w:themeColor="text2"/>
        </w:rPr>
      </w:pPr>
      <w:r w:rsidRPr="00D7741E">
        <w:rPr>
          <w:b/>
          <w:color w:val="099BDD" w:themeColor="text2"/>
        </w:rPr>
        <w:t>Additional Notes</w:t>
      </w:r>
    </w:p>
    <w:p w14:paraId="5DD2C17F" w14:textId="77777777" w:rsidR="00FD14E9" w:rsidRPr="00D7741E" w:rsidRDefault="00FD14E9" w:rsidP="00E46C2D">
      <w:pPr>
        <w:numPr>
          <w:ilvl w:val="0"/>
          <w:numId w:val="10"/>
        </w:numPr>
        <w:spacing w:before="0" w:after="0"/>
        <w:rPr>
          <w:rFonts w:ascii="Calibri" w:hAnsi="Calibri"/>
        </w:rPr>
      </w:pPr>
      <w:r w:rsidRPr="004B0FF0">
        <w:rPr>
          <w:rFonts w:ascii="Calibri" w:hAnsi="Calibri"/>
        </w:rPr>
        <w:t>The duties and responsibilities outlined above are to be regarded as broad areas of responsibility and do not necessarily detail all tasks which the post ho</w:t>
      </w:r>
      <w:r>
        <w:rPr>
          <w:rFonts w:ascii="Calibri" w:hAnsi="Calibri"/>
        </w:rPr>
        <w:t>lder may be required to perform</w:t>
      </w:r>
    </w:p>
    <w:p w14:paraId="79560B7C" w14:textId="77777777" w:rsidR="00FD14E9" w:rsidRPr="00D7741E" w:rsidRDefault="00FD14E9" w:rsidP="00E46C2D">
      <w:pPr>
        <w:numPr>
          <w:ilvl w:val="0"/>
          <w:numId w:val="10"/>
        </w:numPr>
        <w:spacing w:before="0" w:after="0"/>
        <w:rPr>
          <w:rFonts w:ascii="Calibri" w:hAnsi="Calibri"/>
        </w:rPr>
      </w:pPr>
      <w:r w:rsidRPr="004B0FF0">
        <w:rPr>
          <w:rFonts w:ascii="Calibri" w:hAnsi="Calibri"/>
        </w:rPr>
        <w:t>This job description may be subject to change in the light of experience and circumstances and after discussion with the post holder.</w:t>
      </w:r>
    </w:p>
    <w:p w14:paraId="750398E4" w14:textId="504F4161" w:rsidR="00FD14E9" w:rsidRPr="00D7741E" w:rsidRDefault="00FD14E9" w:rsidP="00E46C2D">
      <w:pPr>
        <w:numPr>
          <w:ilvl w:val="0"/>
          <w:numId w:val="10"/>
        </w:numPr>
        <w:spacing w:before="0" w:after="0"/>
        <w:rPr>
          <w:rFonts w:ascii="Calibri" w:hAnsi="Calibri"/>
        </w:rPr>
      </w:pPr>
      <w:r w:rsidRPr="004B0FF0">
        <w:rPr>
          <w:rFonts w:ascii="Calibri" w:hAnsi="Calibri"/>
        </w:rPr>
        <w:t>The post holder will be expected to act with full regard to the requirements of C</w:t>
      </w:r>
      <w:r w:rsidR="00B13948">
        <w:rPr>
          <w:rFonts w:ascii="Calibri" w:hAnsi="Calibri"/>
        </w:rPr>
        <w:t>astleman Healthcare Ltd</w:t>
      </w:r>
      <w:r w:rsidRPr="004B0FF0">
        <w:rPr>
          <w:rFonts w:ascii="Calibri" w:hAnsi="Calibri"/>
        </w:rPr>
        <w:t>'s policies and procedures, including those relating to Health and Safety.</w:t>
      </w:r>
    </w:p>
    <w:p w14:paraId="57B3B6C4" w14:textId="01451539" w:rsidR="00B60DF4" w:rsidRPr="00FD14E9" w:rsidRDefault="00FD14E9" w:rsidP="00E46C2D">
      <w:pPr>
        <w:numPr>
          <w:ilvl w:val="0"/>
          <w:numId w:val="10"/>
        </w:numPr>
        <w:spacing w:before="0" w:after="0"/>
        <w:rPr>
          <w:rFonts w:ascii="Calibri" w:hAnsi="Calibri"/>
        </w:rPr>
      </w:pPr>
      <w:r w:rsidRPr="004B0FF0">
        <w:rPr>
          <w:rFonts w:ascii="Calibri" w:hAnsi="Calibri"/>
        </w:rPr>
        <w:t>The Caldicott Guardian will be expected to liaise and work with external bodies in the course of promoting the Caldicott principles, which may include attendance at various meetings as appropriate.</w:t>
      </w:r>
    </w:p>
    <w:p w14:paraId="24775B3D" w14:textId="77777777" w:rsidR="00B60DF4" w:rsidRPr="004B0FF0" w:rsidRDefault="00B60DF4" w:rsidP="00B60DF4">
      <w:pPr>
        <w:pStyle w:val="Heading1"/>
      </w:pPr>
      <w:r w:rsidRPr="004B0FF0">
        <w:t>Training, Policies and Procedures</w:t>
      </w:r>
    </w:p>
    <w:p w14:paraId="4345122C" w14:textId="34BC5ABA" w:rsidR="00B60DF4" w:rsidRPr="004B0FF0" w:rsidRDefault="00B60DF4" w:rsidP="00E46C2D">
      <w:pPr>
        <w:rPr>
          <w:rFonts w:ascii="Calibri" w:hAnsi="Calibri"/>
        </w:rPr>
      </w:pPr>
      <w:r>
        <w:rPr>
          <w:rFonts w:ascii="Calibri" w:hAnsi="Calibri"/>
        </w:rPr>
        <w:t>Castleman Healthcare Ltd t</w:t>
      </w:r>
      <w:r w:rsidRPr="004B0FF0">
        <w:rPr>
          <w:rFonts w:ascii="Calibri" w:hAnsi="Calibri"/>
        </w:rPr>
        <w:t>akes their responsibilities for the security and protection of all patient-identifiable information very seriously.</w:t>
      </w:r>
    </w:p>
    <w:p w14:paraId="4BD6E857" w14:textId="105BEBA9" w:rsidR="00B60DF4" w:rsidRPr="004B0FF0" w:rsidRDefault="00B60DF4" w:rsidP="00E46C2D">
      <w:pPr>
        <w:rPr>
          <w:rFonts w:ascii="Calibri" w:hAnsi="Calibri"/>
        </w:rPr>
      </w:pPr>
      <w:r w:rsidRPr="004B0FF0">
        <w:rPr>
          <w:rFonts w:ascii="Calibri" w:hAnsi="Calibri"/>
        </w:rPr>
        <w:t xml:space="preserve">All </w:t>
      </w:r>
      <w:r w:rsidR="00FD14E9">
        <w:rPr>
          <w:rFonts w:ascii="Calibri" w:hAnsi="Calibri"/>
        </w:rPr>
        <w:t>employees of Castleman Healthcar</w:t>
      </w:r>
      <w:r w:rsidR="0041181B">
        <w:rPr>
          <w:rFonts w:ascii="Calibri" w:hAnsi="Calibri"/>
        </w:rPr>
        <w:t>e</w:t>
      </w:r>
      <w:r w:rsidR="00FD14E9">
        <w:rPr>
          <w:rFonts w:ascii="Calibri" w:hAnsi="Calibri"/>
        </w:rPr>
        <w:t xml:space="preserve"> Ltd and</w:t>
      </w:r>
      <w:r w:rsidRPr="004B0FF0">
        <w:rPr>
          <w:rFonts w:ascii="Calibri" w:hAnsi="Calibri"/>
        </w:rPr>
        <w:t xml:space="preserve"> staff </w:t>
      </w:r>
      <w:r w:rsidR="00FD14E9">
        <w:rPr>
          <w:rFonts w:ascii="Calibri" w:hAnsi="Calibri"/>
        </w:rPr>
        <w:t xml:space="preserve">in the GP practices </w:t>
      </w:r>
      <w:r w:rsidRPr="004B0FF0">
        <w:rPr>
          <w:rFonts w:ascii="Calibri" w:hAnsi="Calibri"/>
        </w:rPr>
        <w:t xml:space="preserve">have responsibility for compliance with the Caldicott standards. To this end </w:t>
      </w:r>
      <w:r w:rsidR="00D83103">
        <w:rPr>
          <w:rFonts w:ascii="Calibri" w:hAnsi="Calibri"/>
        </w:rPr>
        <w:t xml:space="preserve">Castleman Healthcare Ltd </w:t>
      </w:r>
      <w:r w:rsidRPr="004B0FF0">
        <w:rPr>
          <w:rFonts w:ascii="Calibri" w:hAnsi="Calibri"/>
        </w:rPr>
        <w:t>has:</w:t>
      </w:r>
    </w:p>
    <w:p w14:paraId="0E9C40F4" w14:textId="06FCE838" w:rsidR="00B60DF4" w:rsidRPr="00B60DF4" w:rsidRDefault="00B60DF4" w:rsidP="00E46C2D">
      <w:pPr>
        <w:pStyle w:val="ListParagraph"/>
        <w:numPr>
          <w:ilvl w:val="0"/>
          <w:numId w:val="14"/>
        </w:numPr>
        <w:spacing w:before="0" w:after="0"/>
        <w:rPr>
          <w:rFonts w:ascii="Calibri" w:hAnsi="Calibri"/>
        </w:rPr>
      </w:pPr>
      <w:r w:rsidRPr="00B60DF4">
        <w:rPr>
          <w:rFonts w:ascii="Calibri" w:hAnsi="Calibri"/>
        </w:rPr>
        <w:t>Confidentiality clauses in each employee’s employment contract;</w:t>
      </w:r>
    </w:p>
    <w:p w14:paraId="1B7480F9" w14:textId="77777777" w:rsidR="00B60DF4" w:rsidRPr="00B60DF4" w:rsidRDefault="00B60DF4" w:rsidP="00E46C2D">
      <w:pPr>
        <w:pStyle w:val="ListParagraph"/>
        <w:numPr>
          <w:ilvl w:val="0"/>
          <w:numId w:val="14"/>
        </w:numPr>
        <w:spacing w:before="0" w:after="0"/>
        <w:rPr>
          <w:rFonts w:ascii="Calibri" w:hAnsi="Calibri"/>
        </w:rPr>
      </w:pPr>
      <w:r w:rsidRPr="00B60DF4">
        <w:rPr>
          <w:rFonts w:ascii="Calibri" w:hAnsi="Calibri"/>
        </w:rPr>
        <w:t xml:space="preserve">Computer based training </w:t>
      </w:r>
      <w:proofErr w:type="spellStart"/>
      <w:r w:rsidRPr="00B60DF4">
        <w:rPr>
          <w:rFonts w:ascii="Calibri" w:hAnsi="Calibri"/>
        </w:rPr>
        <w:t>programmes</w:t>
      </w:r>
      <w:proofErr w:type="spellEnd"/>
      <w:r w:rsidRPr="00B60DF4">
        <w:rPr>
          <w:rFonts w:ascii="Calibri" w:hAnsi="Calibri"/>
        </w:rPr>
        <w:t xml:space="preserve"> (including a competency test);</w:t>
      </w:r>
    </w:p>
    <w:p w14:paraId="5F848A00" w14:textId="77777777" w:rsidR="00B60DF4" w:rsidRPr="00B60DF4" w:rsidRDefault="00B60DF4" w:rsidP="00E46C2D">
      <w:pPr>
        <w:pStyle w:val="ListParagraph"/>
        <w:numPr>
          <w:ilvl w:val="0"/>
          <w:numId w:val="14"/>
        </w:numPr>
        <w:spacing w:before="0" w:after="0"/>
        <w:rPr>
          <w:rFonts w:ascii="Calibri" w:hAnsi="Calibri"/>
        </w:rPr>
      </w:pPr>
      <w:r w:rsidRPr="00B60DF4">
        <w:rPr>
          <w:rFonts w:ascii="Calibri" w:hAnsi="Calibri"/>
        </w:rPr>
        <w:t>An Employee Handbook (outlining employee responsibilities);</w:t>
      </w:r>
    </w:p>
    <w:p w14:paraId="28E017AC" w14:textId="5A5016E3" w:rsidR="00B60DF4" w:rsidRPr="00B60DF4" w:rsidRDefault="00B60DF4" w:rsidP="00E46C2D">
      <w:pPr>
        <w:pStyle w:val="ListParagraph"/>
        <w:numPr>
          <w:ilvl w:val="0"/>
          <w:numId w:val="14"/>
        </w:numPr>
        <w:spacing w:before="0" w:after="0"/>
        <w:rPr>
          <w:rFonts w:ascii="Calibri" w:hAnsi="Calibri"/>
        </w:rPr>
      </w:pPr>
      <w:r w:rsidRPr="00B60DF4">
        <w:rPr>
          <w:rFonts w:ascii="Calibri" w:hAnsi="Calibri"/>
        </w:rPr>
        <w:t>Policies, procedures and agreements to ensure any transfer of patient-identifiable information is compliant.</w:t>
      </w:r>
    </w:p>
    <w:p w14:paraId="64FBA12B" w14:textId="1AC035B7" w:rsidR="00B60DF4" w:rsidRPr="00B60DF4" w:rsidRDefault="00B60DF4" w:rsidP="00B60DF4">
      <w:pPr>
        <w:pStyle w:val="Heading1"/>
      </w:pPr>
      <w:r w:rsidRPr="004B0FF0">
        <w:t>Validity of this Policy</w:t>
      </w:r>
    </w:p>
    <w:p w14:paraId="7F7FC834" w14:textId="5AD95D95" w:rsidR="00B60DF4" w:rsidRPr="004B0FF0" w:rsidRDefault="00B60DF4" w:rsidP="00E46C2D">
      <w:pPr>
        <w:rPr>
          <w:rFonts w:ascii="Calibri" w:hAnsi="Calibri"/>
        </w:rPr>
      </w:pPr>
      <w:r w:rsidRPr="004B0FF0">
        <w:rPr>
          <w:rFonts w:ascii="Calibri" w:hAnsi="Calibri"/>
        </w:rPr>
        <w:t>This policy is in accordance with the Data Protection Act 1998 and its underlying principles.</w:t>
      </w:r>
    </w:p>
    <w:p w14:paraId="6676A327" w14:textId="5B7B2369" w:rsidR="00D7741E" w:rsidRDefault="00B60DF4" w:rsidP="00E46C2D">
      <w:pPr>
        <w:rPr>
          <w:rFonts w:ascii="Calibri" w:hAnsi="Calibri"/>
        </w:rPr>
      </w:pPr>
      <w:r w:rsidRPr="004B0FF0">
        <w:rPr>
          <w:rFonts w:ascii="Calibri" w:hAnsi="Calibri"/>
        </w:rPr>
        <w:t xml:space="preserve">This policy will be reviewed annually by </w:t>
      </w:r>
      <w:r w:rsidR="00D83103">
        <w:rPr>
          <w:rFonts w:ascii="Calibri" w:hAnsi="Calibri"/>
        </w:rPr>
        <w:t>the</w:t>
      </w:r>
      <w:r w:rsidRPr="004B0FF0">
        <w:rPr>
          <w:rFonts w:ascii="Calibri" w:hAnsi="Calibri"/>
        </w:rPr>
        <w:t xml:space="preserve"> Caldicott </w:t>
      </w:r>
      <w:r>
        <w:rPr>
          <w:rFonts w:ascii="Calibri" w:hAnsi="Calibri"/>
        </w:rPr>
        <w:t>Guardian</w:t>
      </w:r>
      <w:r w:rsidR="00D83103">
        <w:rPr>
          <w:rFonts w:ascii="Calibri" w:hAnsi="Calibri"/>
        </w:rPr>
        <w:t xml:space="preserve"> for Castleman Healthcare Ltd. </w:t>
      </w:r>
    </w:p>
    <w:p w14:paraId="37B66B9F" w14:textId="66059860" w:rsidR="00B60DF4" w:rsidRDefault="00D7741E" w:rsidP="00D7741E">
      <w:pPr>
        <w:rPr>
          <w:rFonts w:ascii="Calibri" w:hAnsi="Calibri"/>
        </w:rPr>
      </w:pPr>
      <w:r>
        <w:rPr>
          <w:rFonts w:ascii="Calibri" w:hAnsi="Calibri"/>
        </w:rPr>
        <w:br w:type="page"/>
      </w:r>
    </w:p>
    <w:p w14:paraId="7FB38592" w14:textId="77777777" w:rsidR="00B13948" w:rsidRPr="004B0FF0" w:rsidRDefault="00B13948" w:rsidP="00B13948">
      <w:pPr>
        <w:spacing w:before="0" w:after="0" w:line="240" w:lineRule="auto"/>
        <w:rPr>
          <w:rFonts w:ascii="Calibri" w:hAnsi="Calibri"/>
        </w:rPr>
      </w:pPr>
    </w:p>
    <w:p w14:paraId="5F367296" w14:textId="2277C939" w:rsidR="00B60DF4" w:rsidRPr="00B60DF4" w:rsidRDefault="00B60DF4" w:rsidP="00B60DF4">
      <w:pPr>
        <w:pStyle w:val="Heading1"/>
      </w:pPr>
      <w:r w:rsidRPr="004B0FF0">
        <w:t>Appendix A – Compliance Acts</w:t>
      </w:r>
    </w:p>
    <w:p w14:paraId="37731300" w14:textId="0050F9FC" w:rsidR="00B60DF4" w:rsidRPr="004B0FF0" w:rsidRDefault="00D83103" w:rsidP="00E46C2D">
      <w:pPr>
        <w:rPr>
          <w:rFonts w:ascii="Calibri" w:hAnsi="Calibri"/>
        </w:rPr>
      </w:pPr>
      <w:r>
        <w:rPr>
          <w:rFonts w:ascii="Calibri" w:hAnsi="Calibri"/>
        </w:rPr>
        <w:t xml:space="preserve">Castleman Healthcare Ltd </w:t>
      </w:r>
      <w:r w:rsidR="00B60DF4" w:rsidRPr="004B0FF0">
        <w:rPr>
          <w:rFonts w:ascii="Calibri" w:hAnsi="Calibri"/>
        </w:rPr>
        <w:t>adheres to the following Acts:</w:t>
      </w:r>
    </w:p>
    <w:p w14:paraId="00B41DB3" w14:textId="477684F6" w:rsidR="00B60DF4" w:rsidRPr="00B60DF4" w:rsidRDefault="00B60DF4" w:rsidP="00E46C2D">
      <w:pPr>
        <w:rPr>
          <w:b/>
          <w:color w:val="099BDD" w:themeColor="text2"/>
        </w:rPr>
      </w:pPr>
      <w:r w:rsidRPr="00B60DF4">
        <w:rPr>
          <w:b/>
          <w:color w:val="099BDD" w:themeColor="text2"/>
        </w:rPr>
        <w:t>Data Protection Act 1998 - Data Protection Principles</w:t>
      </w:r>
    </w:p>
    <w:p w14:paraId="7D81B892" w14:textId="0E17F09E" w:rsidR="00B60DF4" w:rsidRPr="00B60DF4" w:rsidRDefault="00B60DF4" w:rsidP="00E46C2D">
      <w:pPr>
        <w:numPr>
          <w:ilvl w:val="0"/>
          <w:numId w:val="5"/>
        </w:numPr>
        <w:spacing w:before="0" w:after="0"/>
        <w:ind w:left="357" w:hanging="357"/>
        <w:rPr>
          <w:rFonts w:ascii="Calibri" w:hAnsi="Calibri"/>
        </w:rPr>
      </w:pPr>
      <w:r w:rsidRPr="004B0FF0">
        <w:rPr>
          <w:rFonts w:ascii="Calibri" w:hAnsi="Calibri"/>
        </w:rPr>
        <w:t>Patient-identifiable data shall be processed fairly and lawfully.</w:t>
      </w:r>
    </w:p>
    <w:p w14:paraId="3C3F5CB8" w14:textId="3CE03F74" w:rsidR="00B60DF4" w:rsidRPr="00B60DF4" w:rsidRDefault="00B60DF4" w:rsidP="00E46C2D">
      <w:pPr>
        <w:numPr>
          <w:ilvl w:val="0"/>
          <w:numId w:val="5"/>
        </w:numPr>
        <w:spacing w:before="0" w:after="0"/>
        <w:ind w:left="357" w:hanging="357"/>
        <w:rPr>
          <w:rFonts w:ascii="Calibri" w:hAnsi="Calibri"/>
        </w:rPr>
      </w:pPr>
      <w:r w:rsidRPr="004B0FF0">
        <w:rPr>
          <w:rFonts w:ascii="Calibri" w:hAnsi="Calibri"/>
        </w:rPr>
        <w:t xml:space="preserve">Patient-identifiable data shall be obtained only for one or more specified and lawful </w:t>
      </w:r>
      <w:proofErr w:type="gramStart"/>
      <w:r w:rsidRPr="004B0FF0">
        <w:rPr>
          <w:rFonts w:ascii="Calibri" w:hAnsi="Calibri"/>
        </w:rPr>
        <w:t>purposes, and</w:t>
      </w:r>
      <w:proofErr w:type="gramEnd"/>
      <w:r w:rsidRPr="004B0FF0">
        <w:rPr>
          <w:rFonts w:ascii="Calibri" w:hAnsi="Calibri"/>
        </w:rPr>
        <w:t xml:space="preserve"> shall not be further processed in any manner incompatible with that purpose or those purposes.</w:t>
      </w:r>
    </w:p>
    <w:p w14:paraId="2E5EE7B8" w14:textId="4C2B16EC" w:rsidR="00B60DF4" w:rsidRPr="00B60DF4" w:rsidRDefault="00B60DF4" w:rsidP="00E46C2D">
      <w:pPr>
        <w:numPr>
          <w:ilvl w:val="0"/>
          <w:numId w:val="5"/>
        </w:numPr>
        <w:spacing w:before="0" w:after="0"/>
        <w:ind w:left="357" w:hanging="357"/>
        <w:rPr>
          <w:rFonts w:ascii="Calibri" w:hAnsi="Calibri"/>
        </w:rPr>
      </w:pPr>
      <w:r w:rsidRPr="004B0FF0">
        <w:rPr>
          <w:rFonts w:ascii="Calibri" w:hAnsi="Calibri"/>
        </w:rPr>
        <w:t>Patient-identifiable data shall be adequate, relevant and not excessive in relation to the purpose or purposes for which they are processed.</w:t>
      </w:r>
    </w:p>
    <w:p w14:paraId="46CAD5D6" w14:textId="192FEACE" w:rsidR="00B60DF4" w:rsidRPr="00B60DF4" w:rsidRDefault="00B60DF4" w:rsidP="00E46C2D">
      <w:pPr>
        <w:numPr>
          <w:ilvl w:val="0"/>
          <w:numId w:val="5"/>
        </w:numPr>
        <w:spacing w:before="0" w:after="0"/>
        <w:ind w:left="357" w:hanging="357"/>
        <w:rPr>
          <w:rFonts w:ascii="Calibri" w:hAnsi="Calibri"/>
        </w:rPr>
      </w:pPr>
      <w:r w:rsidRPr="004B0FF0">
        <w:rPr>
          <w:rFonts w:ascii="Calibri" w:hAnsi="Calibri"/>
        </w:rPr>
        <w:t>Patient-identifiable data shall be accurate and, where necessary, kept up to date.</w:t>
      </w:r>
    </w:p>
    <w:p w14:paraId="67D55F66" w14:textId="0D805A0C" w:rsidR="00B60DF4" w:rsidRPr="00B60DF4" w:rsidRDefault="00B60DF4" w:rsidP="00E46C2D">
      <w:pPr>
        <w:numPr>
          <w:ilvl w:val="0"/>
          <w:numId w:val="5"/>
        </w:numPr>
        <w:spacing w:before="0" w:after="0"/>
        <w:ind w:left="357" w:hanging="357"/>
        <w:rPr>
          <w:rFonts w:ascii="Calibri" w:hAnsi="Calibri"/>
        </w:rPr>
      </w:pPr>
      <w:r w:rsidRPr="004B0FF0">
        <w:rPr>
          <w:rFonts w:ascii="Calibri" w:hAnsi="Calibri"/>
        </w:rPr>
        <w:t>Patient-identifiable data processed for any purpose or purposes shall not be kept for longer than is necessary for that purpose or those purposes.</w:t>
      </w:r>
    </w:p>
    <w:p w14:paraId="127F7873" w14:textId="45BB28A3" w:rsidR="00B60DF4" w:rsidRPr="00B60DF4" w:rsidRDefault="00B60DF4" w:rsidP="00E46C2D">
      <w:pPr>
        <w:numPr>
          <w:ilvl w:val="0"/>
          <w:numId w:val="5"/>
        </w:numPr>
        <w:spacing w:before="0" w:after="0"/>
        <w:ind w:left="357" w:hanging="357"/>
        <w:rPr>
          <w:rFonts w:ascii="Calibri" w:hAnsi="Calibri"/>
        </w:rPr>
      </w:pPr>
      <w:r w:rsidRPr="004B0FF0">
        <w:rPr>
          <w:rFonts w:ascii="Calibri" w:hAnsi="Calibri"/>
        </w:rPr>
        <w:t>Patient-identifiable data shall be processed in accordance with the rights of data subjects under this Act.</w:t>
      </w:r>
    </w:p>
    <w:p w14:paraId="115F8BCE" w14:textId="559A38F1" w:rsidR="00B60DF4" w:rsidRPr="00B60DF4" w:rsidRDefault="00B60DF4" w:rsidP="00E46C2D">
      <w:pPr>
        <w:numPr>
          <w:ilvl w:val="0"/>
          <w:numId w:val="5"/>
        </w:numPr>
        <w:spacing w:before="0" w:after="0"/>
        <w:ind w:left="357" w:hanging="357"/>
        <w:rPr>
          <w:rFonts w:ascii="Calibri" w:hAnsi="Calibri"/>
        </w:rPr>
      </w:pPr>
      <w:r w:rsidRPr="004B0FF0">
        <w:rPr>
          <w:rFonts w:ascii="Calibri" w:hAnsi="Calibri"/>
        </w:rPr>
        <w:t xml:space="preserve">Appropriate technical and organisational measures shall be taken against </w:t>
      </w:r>
      <w:proofErr w:type="spellStart"/>
      <w:r w:rsidRPr="004B0FF0">
        <w:rPr>
          <w:rFonts w:ascii="Calibri" w:hAnsi="Calibri"/>
        </w:rPr>
        <w:t>unauthorised</w:t>
      </w:r>
      <w:proofErr w:type="spellEnd"/>
      <w:r w:rsidRPr="004B0FF0">
        <w:rPr>
          <w:rFonts w:ascii="Calibri" w:hAnsi="Calibri"/>
        </w:rPr>
        <w:t xml:space="preserve"> or unlawful processing of patient-identifiable data and against accidental loss or destruction of, or damage to, patient-identifiable data.</w:t>
      </w:r>
    </w:p>
    <w:p w14:paraId="53FCBE94" w14:textId="5BC997B5" w:rsidR="00B60DF4" w:rsidRPr="00D83103" w:rsidRDefault="00B60DF4" w:rsidP="00E46C2D">
      <w:pPr>
        <w:numPr>
          <w:ilvl w:val="0"/>
          <w:numId w:val="5"/>
        </w:numPr>
        <w:spacing w:before="0" w:after="0"/>
        <w:ind w:left="357" w:hanging="357"/>
        <w:rPr>
          <w:rFonts w:ascii="Calibri" w:hAnsi="Calibri"/>
        </w:rPr>
      </w:pPr>
      <w:r w:rsidRPr="004B0FF0">
        <w:rPr>
          <w:rFonts w:ascii="Calibri" w:hAnsi="Calibri"/>
        </w:rPr>
        <w:t>Patient-identifiable data shall not be transferred to a country or territory outside the European Economic Area unless that country or territory ensures an adequate level of protection for the rights and freedoms of data subjects in relation to the processing of patient-identifiable data.</w:t>
      </w:r>
    </w:p>
    <w:p w14:paraId="77A42DB3" w14:textId="188763FF" w:rsidR="00B60DF4" w:rsidRPr="00B60DF4" w:rsidRDefault="00B60DF4" w:rsidP="00E46C2D">
      <w:pPr>
        <w:rPr>
          <w:b/>
          <w:color w:val="099BDD" w:themeColor="text2"/>
        </w:rPr>
      </w:pPr>
      <w:r w:rsidRPr="00B60DF4">
        <w:rPr>
          <w:b/>
          <w:color w:val="099BDD" w:themeColor="text2"/>
        </w:rPr>
        <w:t>The Computer Misuse Act 1990</w:t>
      </w:r>
    </w:p>
    <w:p w14:paraId="17FFFC34" w14:textId="1D13FD70" w:rsidR="00B60DF4" w:rsidRPr="004B0FF0" w:rsidRDefault="00B60DF4" w:rsidP="00E46C2D">
      <w:pPr>
        <w:rPr>
          <w:rFonts w:ascii="Calibri" w:hAnsi="Calibri"/>
        </w:rPr>
      </w:pPr>
      <w:r w:rsidRPr="004B0FF0">
        <w:rPr>
          <w:rFonts w:ascii="Calibri" w:hAnsi="Calibri"/>
        </w:rPr>
        <w:t>This Act makes it a criminal offence to access any part of a computer system, programs and/or data that a user is not entitled to access.</w:t>
      </w:r>
    </w:p>
    <w:p w14:paraId="56F8B66C" w14:textId="22EE7653" w:rsidR="00B60DF4" w:rsidRPr="004B0FF0" w:rsidRDefault="00B60DF4" w:rsidP="00E46C2D">
      <w:pPr>
        <w:rPr>
          <w:rFonts w:ascii="Calibri" w:hAnsi="Calibri"/>
        </w:rPr>
      </w:pPr>
      <w:r w:rsidRPr="004B0FF0">
        <w:rPr>
          <w:rFonts w:ascii="Calibri" w:hAnsi="Calibri"/>
        </w:rPr>
        <w:t xml:space="preserve">Each </w:t>
      </w:r>
      <w:proofErr w:type="spellStart"/>
      <w:r w:rsidRPr="004B0FF0">
        <w:rPr>
          <w:rFonts w:ascii="Calibri" w:hAnsi="Calibri"/>
        </w:rPr>
        <w:t>organisation</w:t>
      </w:r>
      <w:proofErr w:type="spellEnd"/>
      <w:r w:rsidRPr="004B0FF0">
        <w:rPr>
          <w:rFonts w:ascii="Calibri" w:hAnsi="Calibri"/>
        </w:rPr>
        <w:t xml:space="preserve"> will issue an individual user id and password to each employee which will only be known by that individual and must not be divulged </w:t>
      </w:r>
      <w:proofErr w:type="gramStart"/>
      <w:r w:rsidRPr="004B0FF0">
        <w:rPr>
          <w:rFonts w:ascii="Calibri" w:hAnsi="Calibri"/>
        </w:rPr>
        <w:t>to, or</w:t>
      </w:r>
      <w:proofErr w:type="gramEnd"/>
      <w:r w:rsidRPr="004B0FF0">
        <w:rPr>
          <w:rFonts w:ascii="Calibri" w:hAnsi="Calibri"/>
        </w:rPr>
        <w:t xml:space="preserve"> misused by other staff. This is to protect the employee from the likelihood of their inadvertently contravening this Act.</w:t>
      </w:r>
    </w:p>
    <w:p w14:paraId="74DEDDD9" w14:textId="313E1051" w:rsidR="00B60DF4" w:rsidRPr="004B0FF0" w:rsidRDefault="00B60DF4" w:rsidP="00E46C2D">
      <w:pPr>
        <w:rPr>
          <w:rFonts w:ascii="Calibri" w:hAnsi="Calibri"/>
        </w:rPr>
      </w:pPr>
      <w:r w:rsidRPr="004B0FF0">
        <w:rPr>
          <w:rFonts w:ascii="Calibri" w:hAnsi="Calibri"/>
        </w:rPr>
        <w:t xml:space="preserve">Each </w:t>
      </w:r>
      <w:proofErr w:type="spellStart"/>
      <w:r w:rsidRPr="004B0FF0">
        <w:rPr>
          <w:rFonts w:ascii="Calibri" w:hAnsi="Calibri"/>
        </w:rPr>
        <w:t>organisation</w:t>
      </w:r>
      <w:proofErr w:type="spellEnd"/>
      <w:r w:rsidRPr="004B0FF0">
        <w:rPr>
          <w:rFonts w:ascii="Calibri" w:hAnsi="Calibri"/>
        </w:rPr>
        <w:t xml:space="preserve"> will adhere to the requirements of the Computer Misuse Act 1990 by ensuring staff are made aware of their responsibilities regarding the misuse of computers for personal gain or other fraudulent activities.</w:t>
      </w:r>
    </w:p>
    <w:p w14:paraId="1B44E278" w14:textId="32B8523F" w:rsidR="00B60DF4" w:rsidRPr="00D83103" w:rsidRDefault="00B60DF4" w:rsidP="00E46C2D">
      <w:pPr>
        <w:rPr>
          <w:rFonts w:ascii="Calibri" w:hAnsi="Calibri"/>
        </w:rPr>
      </w:pPr>
      <w:r w:rsidRPr="004B0FF0">
        <w:rPr>
          <w:rFonts w:ascii="Calibri" w:hAnsi="Calibri"/>
        </w:rPr>
        <w:t>Any member of staff found to have contravened this Act will be considered to have committed a disciplinary offence and be dealt with accordingly.</w:t>
      </w:r>
    </w:p>
    <w:p w14:paraId="64948F6B" w14:textId="19B8A082" w:rsidR="00B60DF4" w:rsidRPr="00D7741E" w:rsidRDefault="00B60DF4" w:rsidP="00E46C2D">
      <w:pPr>
        <w:rPr>
          <w:b/>
          <w:color w:val="099BDD" w:themeColor="text2"/>
        </w:rPr>
      </w:pPr>
      <w:r w:rsidRPr="00D7741E">
        <w:rPr>
          <w:b/>
          <w:color w:val="099BDD" w:themeColor="text2"/>
        </w:rPr>
        <w:t>The Access to Health Records 1990</w:t>
      </w:r>
    </w:p>
    <w:p w14:paraId="163E2F39" w14:textId="2518250E" w:rsidR="00B60DF4" w:rsidRDefault="00B60DF4" w:rsidP="00E46C2D">
      <w:pPr>
        <w:rPr>
          <w:rFonts w:ascii="Calibri" w:hAnsi="Calibri"/>
        </w:rPr>
      </w:pPr>
      <w:r w:rsidRPr="004B0FF0">
        <w:rPr>
          <w:rFonts w:ascii="Calibri" w:hAnsi="Calibri"/>
        </w:rPr>
        <w:t>This Act gives patients’ representatives right of access to their manually held health records, in respect of information recorded on or after 1 November 1991.</w:t>
      </w:r>
    </w:p>
    <w:p w14:paraId="2A525D09" w14:textId="34C7D8AB" w:rsidR="00B13948" w:rsidRDefault="00B13948" w:rsidP="00E46C2D">
      <w:pPr>
        <w:rPr>
          <w:rFonts w:ascii="Calibri" w:hAnsi="Calibri"/>
        </w:rPr>
      </w:pPr>
    </w:p>
    <w:p w14:paraId="71CFED03" w14:textId="77777777" w:rsidR="00B13948" w:rsidRPr="004B0FF0" w:rsidRDefault="00B13948" w:rsidP="00B13948">
      <w:pPr>
        <w:spacing w:before="0" w:after="0" w:line="240" w:lineRule="auto"/>
        <w:jc w:val="both"/>
        <w:rPr>
          <w:rFonts w:ascii="Calibri" w:hAnsi="Calibri"/>
        </w:rPr>
      </w:pPr>
    </w:p>
    <w:p w14:paraId="76EB4396" w14:textId="6C6CBEA6" w:rsidR="00B60DF4" w:rsidRPr="00D7741E" w:rsidRDefault="00B60DF4" w:rsidP="00E46C2D">
      <w:pPr>
        <w:rPr>
          <w:rFonts w:ascii="Calibri" w:hAnsi="Calibri"/>
        </w:rPr>
      </w:pPr>
      <w:r w:rsidRPr="004B0FF0">
        <w:rPr>
          <w:rFonts w:ascii="Calibri" w:hAnsi="Calibri"/>
        </w:rPr>
        <w:t>This Act is only applicable for access to deceased patient’s records. All other requests for access to information about living individuals are provided under the access provisions of the Data</w:t>
      </w:r>
      <w:r w:rsidR="00B13948">
        <w:rPr>
          <w:rFonts w:ascii="Calibri" w:hAnsi="Calibri"/>
        </w:rPr>
        <w:t xml:space="preserve"> </w:t>
      </w:r>
      <w:r w:rsidRPr="004B0FF0">
        <w:rPr>
          <w:rFonts w:ascii="Calibri" w:hAnsi="Calibri"/>
        </w:rPr>
        <w:t>Protection Act 1998.</w:t>
      </w:r>
    </w:p>
    <w:p w14:paraId="46B75273" w14:textId="7F4CD5B6" w:rsidR="00B60DF4" w:rsidRPr="00D7741E" w:rsidRDefault="00B60DF4" w:rsidP="00E46C2D">
      <w:pPr>
        <w:rPr>
          <w:b/>
          <w:color w:val="099BDD" w:themeColor="text2"/>
        </w:rPr>
      </w:pPr>
      <w:r w:rsidRPr="00D7741E">
        <w:rPr>
          <w:b/>
          <w:color w:val="099BDD" w:themeColor="text2"/>
        </w:rPr>
        <w:t>Access to Medical Reports Act 1988</w:t>
      </w:r>
    </w:p>
    <w:p w14:paraId="771128EC" w14:textId="41AFAC7D" w:rsidR="00B60DF4" w:rsidRPr="004B0FF0" w:rsidRDefault="00B60DF4" w:rsidP="00E46C2D">
      <w:r w:rsidRPr="004B0FF0">
        <w:t>This Act allows those who have had a medical report produced for the purposes of employment and/or insurance to obtain a copy of the content of the report prior to it being disclosed to any potential employer and/or prospective insurance company.</w:t>
      </w:r>
    </w:p>
    <w:p w14:paraId="26BC8605" w14:textId="0B791D8A" w:rsidR="00B60DF4" w:rsidRPr="00D7741E" w:rsidRDefault="00B60DF4" w:rsidP="00E46C2D">
      <w:pPr>
        <w:rPr>
          <w:b/>
          <w:color w:val="099BDD" w:themeColor="text2"/>
        </w:rPr>
      </w:pPr>
      <w:r w:rsidRPr="00D7741E">
        <w:rPr>
          <w:b/>
          <w:color w:val="099BDD" w:themeColor="text2"/>
        </w:rPr>
        <w:t>Confidentiality: NHS Code of Practice</w:t>
      </w:r>
    </w:p>
    <w:p w14:paraId="66D3A004" w14:textId="77777777" w:rsidR="00B13948" w:rsidRDefault="00B60DF4" w:rsidP="00E46C2D">
      <w:pPr>
        <w:rPr>
          <w:rFonts w:ascii="Calibri" w:hAnsi="Calibri"/>
        </w:rPr>
      </w:pPr>
      <w:r w:rsidRPr="004B0FF0">
        <w:rPr>
          <w:rFonts w:ascii="Calibri" w:hAnsi="Calibri"/>
        </w:rPr>
        <w:t xml:space="preserve">Gives NHS bodies guidance concerning the required practice for those who work within or under contract to NHS </w:t>
      </w:r>
      <w:proofErr w:type="spellStart"/>
      <w:r w:rsidRPr="004B0FF0">
        <w:rPr>
          <w:rFonts w:ascii="Calibri" w:hAnsi="Calibri"/>
        </w:rPr>
        <w:t>organisations</w:t>
      </w:r>
      <w:proofErr w:type="spellEnd"/>
      <w:r w:rsidRPr="004B0FF0">
        <w:rPr>
          <w:rFonts w:ascii="Calibri" w:hAnsi="Calibri"/>
        </w:rPr>
        <w:t xml:space="preserve"> concerning confidentiality and patients’ consent to the use of their health records. It is a key component of information governance arrangements for the NHS.</w:t>
      </w:r>
    </w:p>
    <w:p w14:paraId="47A3126D" w14:textId="77777777" w:rsidR="00B13948" w:rsidRDefault="00B13948" w:rsidP="00E46C2D">
      <w:pPr>
        <w:rPr>
          <w:rFonts w:ascii="Calibri" w:hAnsi="Calibri"/>
        </w:rPr>
      </w:pPr>
    </w:p>
    <w:p w14:paraId="3E0E8CBF" w14:textId="77777777" w:rsidR="00B13948" w:rsidRDefault="00B13948" w:rsidP="00E46C2D">
      <w:pPr>
        <w:rPr>
          <w:rFonts w:ascii="Calibri" w:hAnsi="Calibri"/>
        </w:rPr>
      </w:pPr>
    </w:p>
    <w:p w14:paraId="4689D226" w14:textId="6A4C915E" w:rsidR="00B60DF4" w:rsidRPr="00B13948" w:rsidRDefault="00B60DF4" w:rsidP="00E46C2D">
      <w:pPr>
        <w:rPr>
          <w:rFonts w:ascii="Calibri" w:hAnsi="Calibri"/>
        </w:rPr>
      </w:pPr>
    </w:p>
    <w:sectPr w:rsidR="00B60DF4" w:rsidRPr="00B13948">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DC8B" w14:textId="77777777" w:rsidR="00AD5A3E" w:rsidRDefault="00AD5A3E">
      <w:pPr>
        <w:spacing w:after="0" w:line="240" w:lineRule="auto"/>
      </w:pPr>
      <w:r>
        <w:separator/>
      </w:r>
    </w:p>
  </w:endnote>
  <w:endnote w:type="continuationSeparator" w:id="0">
    <w:p w14:paraId="2C42031C" w14:textId="77777777" w:rsidR="00AD5A3E" w:rsidRDefault="00AD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rbe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53005C84" w:rsidR="004A02F6" w:rsidRDefault="004A02F6">
            <w:pPr>
              <w:pStyle w:val="Footer"/>
              <w:jc w:val="center"/>
            </w:pPr>
            <w:r>
              <w:t xml:space="preserve">Caldicott Policy </w:t>
            </w:r>
            <w:r w:rsidR="0041181B">
              <w:t>Sep</w:t>
            </w:r>
            <w:r>
              <w:t xml:space="preserve"> </w:t>
            </w:r>
            <w:r w:rsidR="00B13948">
              <w:t>20</w:t>
            </w:r>
            <w:r w:rsidR="00833092">
              <w:t>2</w:t>
            </w:r>
            <w:r w:rsidR="00E46C2D">
              <w:t>3</w:t>
            </w:r>
            <w:r w:rsidR="0041181B">
              <w:t xml:space="preserve"> </w:t>
            </w:r>
            <w:r w:rsidR="00B13948">
              <w:t xml:space="preserve">- </w:t>
            </w:r>
            <w:r w:rsidR="0041181B">
              <w:t>Castleman Healthcare Ltd</w:t>
            </w:r>
            <w:r>
              <w:t xml:space="preserve"> - Page </w:t>
            </w:r>
            <w:r>
              <w:rPr>
                <w:b/>
                <w:bCs/>
                <w:sz w:val="24"/>
                <w:szCs w:val="24"/>
              </w:rPr>
              <w:fldChar w:fldCharType="begin"/>
            </w:r>
            <w:r>
              <w:rPr>
                <w:b/>
                <w:bCs/>
              </w:rPr>
              <w:instrText xml:space="preserve"> PAGE </w:instrText>
            </w:r>
            <w:r>
              <w:rPr>
                <w:b/>
                <w:bCs/>
                <w:sz w:val="24"/>
                <w:szCs w:val="24"/>
              </w:rPr>
              <w:fldChar w:fldCharType="separate"/>
            </w:r>
            <w:r w:rsidR="00EC039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0392">
              <w:rPr>
                <w:b/>
                <w:bCs/>
                <w:noProof/>
              </w:rPr>
              <w:t>9</w:t>
            </w:r>
            <w:r>
              <w:rPr>
                <w:b/>
                <w:bCs/>
                <w:sz w:val="24"/>
                <w:szCs w:val="24"/>
              </w:rPr>
              <w:fldChar w:fldCharType="end"/>
            </w:r>
          </w:p>
        </w:sdtContent>
      </w:sdt>
    </w:sdtContent>
  </w:sdt>
  <w:p w14:paraId="34E15098" w14:textId="77777777" w:rsidR="004A02F6" w:rsidRDefault="004A0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ACB0" w14:textId="77777777" w:rsidR="00AD5A3E" w:rsidRDefault="00AD5A3E">
      <w:pPr>
        <w:spacing w:after="0" w:line="240" w:lineRule="auto"/>
      </w:pPr>
      <w:r>
        <w:separator/>
      </w:r>
    </w:p>
  </w:footnote>
  <w:footnote w:type="continuationSeparator" w:id="0">
    <w:p w14:paraId="15137BBB" w14:textId="77777777" w:rsidR="00AD5A3E" w:rsidRDefault="00AD5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AB11" w14:textId="14D575F2" w:rsidR="00B52B30" w:rsidRPr="00B52B30" w:rsidRDefault="00B52B30" w:rsidP="00B52B30">
    <w:pPr>
      <w:pStyle w:val="Header"/>
      <w:jc w:val="right"/>
    </w:pPr>
    <w:r>
      <w:rPr>
        <w:noProof/>
      </w:rPr>
      <w:drawing>
        <wp:inline distT="0" distB="0" distL="0" distR="0" wp14:anchorId="5C1A7039" wp14:editId="7D501418">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5A"/>
    <w:multiLevelType w:val="hybridMultilevel"/>
    <w:tmpl w:val="10A260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C6119"/>
    <w:multiLevelType w:val="hybridMultilevel"/>
    <w:tmpl w:val="A4804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55083"/>
    <w:multiLevelType w:val="hybridMultilevel"/>
    <w:tmpl w:val="F63013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01D48"/>
    <w:multiLevelType w:val="hybridMultilevel"/>
    <w:tmpl w:val="08CE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20EDB"/>
    <w:multiLevelType w:val="multilevel"/>
    <w:tmpl w:val="770EB722"/>
    <w:numStyleLink w:val="Bullet01"/>
  </w:abstractNum>
  <w:abstractNum w:abstractNumId="6" w15:restartNumberingAfterBreak="0">
    <w:nsid w:val="40054CEF"/>
    <w:multiLevelType w:val="hybridMultilevel"/>
    <w:tmpl w:val="828A8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75F6D"/>
    <w:multiLevelType w:val="hybridMultilevel"/>
    <w:tmpl w:val="5F304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AF53A1"/>
    <w:multiLevelType w:val="hybridMultilevel"/>
    <w:tmpl w:val="4808A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6A7EDE"/>
    <w:multiLevelType w:val="hybridMultilevel"/>
    <w:tmpl w:val="D90409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F672F"/>
    <w:multiLevelType w:val="hybridMultilevel"/>
    <w:tmpl w:val="828A8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A4846"/>
    <w:multiLevelType w:val="hybridMultilevel"/>
    <w:tmpl w:val="828A8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3157E"/>
    <w:multiLevelType w:val="hybridMultilevel"/>
    <w:tmpl w:val="4808A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D2820"/>
    <w:multiLevelType w:val="hybridMultilevel"/>
    <w:tmpl w:val="828A8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CC049C"/>
    <w:multiLevelType w:val="hybridMultilevel"/>
    <w:tmpl w:val="E4B20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C1A48"/>
    <w:multiLevelType w:val="hybridMultilevel"/>
    <w:tmpl w:val="E4B20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4809235">
    <w:abstractNumId w:val="15"/>
  </w:num>
  <w:num w:numId="2" w16cid:durableId="1230460226">
    <w:abstractNumId w:val="1"/>
  </w:num>
  <w:num w:numId="3" w16cid:durableId="1255554772">
    <w:abstractNumId w:val="9"/>
  </w:num>
  <w:num w:numId="4" w16cid:durableId="2025402008">
    <w:abstractNumId w:val="5"/>
  </w:num>
  <w:num w:numId="5" w16cid:durableId="2021422672">
    <w:abstractNumId w:val="7"/>
  </w:num>
  <w:num w:numId="6" w16cid:durableId="1855460299">
    <w:abstractNumId w:val="4"/>
  </w:num>
  <w:num w:numId="7" w16cid:durableId="1632052411">
    <w:abstractNumId w:val="17"/>
  </w:num>
  <w:num w:numId="8" w16cid:durableId="2016027365">
    <w:abstractNumId w:val="16"/>
  </w:num>
  <w:num w:numId="9" w16cid:durableId="1576815034">
    <w:abstractNumId w:val="11"/>
  </w:num>
  <w:num w:numId="10" w16cid:durableId="100685706">
    <w:abstractNumId w:val="12"/>
  </w:num>
  <w:num w:numId="11" w16cid:durableId="1094789801">
    <w:abstractNumId w:val="3"/>
  </w:num>
  <w:num w:numId="12" w16cid:durableId="968129743">
    <w:abstractNumId w:val="0"/>
  </w:num>
  <w:num w:numId="13" w16cid:durableId="450710487">
    <w:abstractNumId w:val="2"/>
  </w:num>
  <w:num w:numId="14" w16cid:durableId="104933733">
    <w:abstractNumId w:val="10"/>
  </w:num>
  <w:num w:numId="15" w16cid:durableId="942802645">
    <w:abstractNumId w:val="13"/>
  </w:num>
  <w:num w:numId="16" w16cid:durableId="1767918698">
    <w:abstractNumId w:val="8"/>
  </w:num>
  <w:num w:numId="17" w16cid:durableId="1971738996">
    <w:abstractNumId w:val="14"/>
  </w:num>
  <w:num w:numId="18" w16cid:durableId="171634576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70CB8"/>
    <w:rsid w:val="00110519"/>
    <w:rsid w:val="00196599"/>
    <w:rsid w:val="001D7BDE"/>
    <w:rsid w:val="002848C4"/>
    <w:rsid w:val="0041181B"/>
    <w:rsid w:val="004A02F6"/>
    <w:rsid w:val="005079B5"/>
    <w:rsid w:val="005308EF"/>
    <w:rsid w:val="005C591A"/>
    <w:rsid w:val="006733A4"/>
    <w:rsid w:val="006C0EA0"/>
    <w:rsid w:val="007A38F6"/>
    <w:rsid w:val="007E7F06"/>
    <w:rsid w:val="00833092"/>
    <w:rsid w:val="00983715"/>
    <w:rsid w:val="009D14A5"/>
    <w:rsid w:val="009E1A3F"/>
    <w:rsid w:val="00A40178"/>
    <w:rsid w:val="00AC41D4"/>
    <w:rsid w:val="00AD5A3E"/>
    <w:rsid w:val="00B04CBA"/>
    <w:rsid w:val="00B13948"/>
    <w:rsid w:val="00B52B30"/>
    <w:rsid w:val="00B60DF4"/>
    <w:rsid w:val="00C15FAF"/>
    <w:rsid w:val="00CC1D6D"/>
    <w:rsid w:val="00D33C93"/>
    <w:rsid w:val="00D7741E"/>
    <w:rsid w:val="00D83103"/>
    <w:rsid w:val="00E46C2D"/>
    <w:rsid w:val="00E93D81"/>
    <w:rsid w:val="00EC0392"/>
    <w:rsid w:val="00FA0B2D"/>
    <w:rsid w:val="00FA5C5C"/>
    <w:rsid w:val="00FD14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75BF933"/>
  <w15:docId w15:val="{2EC81B71-CD54-49FE-AA02-2A41AC70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numbering" w:customStyle="1" w:styleId="Bullet01">
    <w:name w:val="Bullet_01"/>
    <w:basedOn w:val="NoList"/>
    <w:rsid w:val="00B60DF4"/>
    <w:pPr>
      <w:numPr>
        <w:numId w:val="2"/>
      </w:numPr>
    </w:pPr>
  </w:style>
  <w:style w:type="numbering" w:customStyle="1" w:styleId="Bullet02">
    <w:name w:val="Bullet_02"/>
    <w:basedOn w:val="NoList"/>
    <w:rsid w:val="00B60DF4"/>
    <w:pPr>
      <w:numPr>
        <w:numId w:val="3"/>
      </w:numPr>
    </w:pPr>
  </w:style>
  <w:style w:type="character" w:styleId="CommentReference">
    <w:name w:val="annotation reference"/>
    <w:rsid w:val="00B60DF4"/>
    <w:rPr>
      <w:sz w:val="16"/>
      <w:szCs w:val="16"/>
    </w:rPr>
  </w:style>
  <w:style w:type="paragraph" w:styleId="CommentText">
    <w:name w:val="annotation text"/>
    <w:basedOn w:val="Normal"/>
    <w:link w:val="CommentTextChar"/>
    <w:rsid w:val="00B60DF4"/>
    <w:pPr>
      <w:spacing w:before="0" w:after="0" w:line="240" w:lineRule="auto"/>
    </w:pPr>
    <w:rPr>
      <w:rFonts w:ascii="Calibri" w:eastAsia="Arial" w:hAnsi="Calibri" w:cs="Arial"/>
      <w:color w:val="000000"/>
      <w:spacing w:val="-2"/>
      <w:sz w:val="20"/>
      <w:szCs w:val="20"/>
      <w:lang w:val="en-GB" w:eastAsia="en-US"/>
    </w:rPr>
  </w:style>
  <w:style w:type="character" w:customStyle="1" w:styleId="CommentTextChar">
    <w:name w:val="Comment Text Char"/>
    <w:basedOn w:val="DefaultParagraphFont"/>
    <w:link w:val="CommentText"/>
    <w:rsid w:val="00B60DF4"/>
    <w:rPr>
      <w:rFonts w:ascii="Calibri" w:eastAsia="Arial" w:hAnsi="Calibri" w:cs="Arial"/>
      <w:color w:val="000000"/>
      <w:spacing w:val="-2"/>
      <w:sz w:val="20"/>
      <w:szCs w:val="20"/>
      <w:lang w:val="en-GB" w:eastAsia="en-US"/>
    </w:rPr>
  </w:style>
  <w:style w:type="paragraph" w:styleId="BalloonText">
    <w:name w:val="Balloon Text"/>
    <w:basedOn w:val="Normal"/>
    <w:link w:val="BalloonTextChar"/>
    <w:uiPriority w:val="99"/>
    <w:semiHidden/>
    <w:unhideWhenUsed/>
    <w:rsid w:val="00B60DF4"/>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DF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D14E9"/>
    <w:pPr>
      <w:spacing w:before="120" w:after="200"/>
    </w:pPr>
    <w:rPr>
      <w:rFonts w:asciiTheme="minorHAnsi" w:eastAsiaTheme="minorEastAsia" w:hAnsiTheme="minorHAnsi" w:cstheme="minorBidi"/>
      <w:b/>
      <w:bCs/>
      <w:color w:val="auto"/>
      <w:spacing w:val="0"/>
      <w:lang w:val="en-US" w:eastAsia="ja-JP"/>
    </w:rPr>
  </w:style>
  <w:style w:type="character" w:customStyle="1" w:styleId="CommentSubjectChar">
    <w:name w:val="Comment Subject Char"/>
    <w:basedOn w:val="CommentTextChar"/>
    <w:link w:val="CommentSubject"/>
    <w:uiPriority w:val="99"/>
    <w:semiHidden/>
    <w:rsid w:val="00FD14E9"/>
    <w:rPr>
      <w:rFonts w:ascii="Calibri" w:eastAsia="Arial" w:hAnsi="Calibri" w:cs="Arial"/>
      <w:b/>
      <w:bCs/>
      <w:color w:val="000000"/>
      <w:spacing w:val="-2"/>
      <w:sz w:val="20"/>
      <w:szCs w:val="20"/>
      <w:lang w:val="en-GB" w:eastAsia="en-US"/>
    </w:rPr>
  </w:style>
  <w:style w:type="character" w:styleId="FollowedHyperlink">
    <w:name w:val="FollowedHyperlink"/>
    <w:basedOn w:val="DefaultParagraphFont"/>
    <w:uiPriority w:val="99"/>
    <w:semiHidden/>
    <w:unhideWhenUsed/>
    <w:rsid w:val="00833092"/>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mc-uk.org/guidance/ethical_guidance/raising_concern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DC14F69C-75EF-4893-BF1E-71E1DA08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27</TotalTime>
  <Pages>7</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6</cp:revision>
  <cp:lastPrinted>2016-10-03T11:21:00Z</cp:lastPrinted>
  <dcterms:created xsi:type="dcterms:W3CDTF">2021-10-04T10:42:00Z</dcterms:created>
  <dcterms:modified xsi:type="dcterms:W3CDTF">2023-09-28T07:08:00Z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