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AC6" w14:textId="7E3C94D3" w:rsidR="00FD778B" w:rsidRDefault="00FD778B" w:rsidP="003A3BC2">
      <w:pPr>
        <w:pStyle w:val="Title"/>
        <w:jc w:val="right"/>
        <w:rPr>
          <w:rFonts w:ascii="Calibri" w:hAnsi="Calibri"/>
        </w:rPr>
      </w:pPr>
    </w:p>
    <w:p w14:paraId="58AD5BAE" w14:textId="525D9D64"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427FD342" w:rsidR="00C15FAF" w:rsidRPr="00B26406" w:rsidRDefault="008D5425">
      <w:pPr>
        <w:pStyle w:val="Heading1"/>
        <w:rPr>
          <w:rFonts w:ascii="Calibri" w:hAnsi="Calibri"/>
          <w:sz w:val="36"/>
          <w:szCs w:val="36"/>
        </w:rPr>
      </w:pPr>
      <w:r>
        <w:rPr>
          <w:rFonts w:ascii="Calibri" w:hAnsi="Calibri"/>
          <w:sz w:val="36"/>
          <w:szCs w:val="36"/>
        </w:rPr>
        <w:t>ACCOUNTABLE EMERGENCY OFFICEr &amp; response</w:t>
      </w:r>
      <w:r w:rsidR="00EF2CDD">
        <w:rPr>
          <w:rFonts w:ascii="Calibri" w:hAnsi="Calibri"/>
          <w:sz w:val="36"/>
          <w:szCs w:val="36"/>
        </w:rPr>
        <w:t xml:space="preserve"> policy</w:t>
      </w:r>
      <w:r w:rsidR="00EF2CDD">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2"/>
        <w:gridCol w:w="6558"/>
      </w:tblGrid>
      <w:tr w:rsidR="00A40178" w:rsidRPr="00B26406" w14:paraId="4F380843" w14:textId="77777777" w:rsidTr="00612266">
        <w:tc>
          <w:tcPr>
            <w:tcW w:w="2943" w:type="dxa"/>
            <w:shd w:val="clear" w:color="auto" w:fill="099BDD" w:themeFill="text2"/>
            <w:vAlign w:val="center"/>
          </w:tcPr>
          <w:p w14:paraId="5C527393"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46A6F477" w:rsidR="00A40178" w:rsidRPr="00B26406" w:rsidRDefault="00BC4940" w:rsidP="00712167">
            <w:pPr>
              <w:spacing w:before="200" w:after="200"/>
              <w:jc w:val="both"/>
              <w:rPr>
                <w:rFonts w:ascii="Calibri" w:hAnsi="Calibri"/>
                <w:sz w:val="28"/>
                <w:szCs w:val="28"/>
              </w:rPr>
            </w:pPr>
            <w:r>
              <w:rPr>
                <w:rFonts w:ascii="Calibri" w:hAnsi="Calibri"/>
                <w:sz w:val="28"/>
                <w:szCs w:val="28"/>
              </w:rPr>
              <w:t>Corporate</w:t>
            </w:r>
            <w:r w:rsidR="00EF2CDD">
              <w:rPr>
                <w:rFonts w:ascii="Calibri" w:hAnsi="Calibri"/>
                <w:sz w:val="28"/>
                <w:szCs w:val="28"/>
              </w:rPr>
              <w:t xml:space="preserve"> Governance </w:t>
            </w:r>
          </w:p>
        </w:tc>
      </w:tr>
      <w:tr w:rsidR="00A40178" w:rsidRPr="00B26406" w14:paraId="2DAC5305" w14:textId="77777777" w:rsidTr="00612266">
        <w:tc>
          <w:tcPr>
            <w:tcW w:w="2943" w:type="dxa"/>
            <w:shd w:val="clear" w:color="auto" w:fill="099BDD" w:themeFill="text2"/>
            <w:vAlign w:val="center"/>
          </w:tcPr>
          <w:p w14:paraId="33A1C3F0"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712167">
            <w:pPr>
              <w:spacing w:before="200" w:after="200"/>
              <w:jc w:val="both"/>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612266">
        <w:tc>
          <w:tcPr>
            <w:tcW w:w="2943" w:type="dxa"/>
            <w:shd w:val="clear" w:color="auto" w:fill="099BDD" w:themeFill="text2"/>
            <w:vAlign w:val="center"/>
          </w:tcPr>
          <w:p w14:paraId="46F9B232"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15DABFAA" w:rsidR="00A40178" w:rsidRPr="00B26406" w:rsidRDefault="008D5425" w:rsidP="00712167">
            <w:pPr>
              <w:spacing w:before="200" w:after="200"/>
              <w:jc w:val="both"/>
              <w:rPr>
                <w:rFonts w:ascii="Calibri" w:hAnsi="Calibri"/>
                <w:sz w:val="28"/>
                <w:szCs w:val="28"/>
              </w:rPr>
            </w:pPr>
            <w:r>
              <w:rPr>
                <w:rFonts w:ascii="Calibri" w:hAnsi="Calibri"/>
                <w:sz w:val="28"/>
                <w:szCs w:val="28"/>
              </w:rPr>
              <w:t>James Leyland</w:t>
            </w:r>
          </w:p>
        </w:tc>
      </w:tr>
      <w:tr w:rsidR="00A40178" w:rsidRPr="00B26406" w14:paraId="01263F99" w14:textId="77777777" w:rsidTr="00612266">
        <w:tc>
          <w:tcPr>
            <w:tcW w:w="2943" w:type="dxa"/>
            <w:shd w:val="clear" w:color="auto" w:fill="099BDD" w:themeFill="text2"/>
            <w:vAlign w:val="center"/>
          </w:tcPr>
          <w:p w14:paraId="0580C7C0"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0CFABFC9" w:rsidR="00A40178" w:rsidRPr="00B26406" w:rsidRDefault="008D5425" w:rsidP="00712167">
            <w:pPr>
              <w:spacing w:before="200" w:after="200"/>
              <w:jc w:val="both"/>
              <w:rPr>
                <w:rFonts w:ascii="Calibri" w:hAnsi="Calibri"/>
                <w:sz w:val="28"/>
                <w:szCs w:val="28"/>
              </w:rPr>
            </w:pPr>
            <w:r>
              <w:rPr>
                <w:rFonts w:ascii="Calibri" w:hAnsi="Calibri"/>
                <w:sz w:val="28"/>
                <w:szCs w:val="28"/>
              </w:rPr>
              <w:t>October 2021</w:t>
            </w:r>
          </w:p>
        </w:tc>
      </w:tr>
      <w:tr w:rsidR="00A40178" w:rsidRPr="00B26406" w14:paraId="40097A9A" w14:textId="77777777" w:rsidTr="00612266">
        <w:tc>
          <w:tcPr>
            <w:tcW w:w="2943" w:type="dxa"/>
            <w:shd w:val="clear" w:color="auto" w:fill="099BDD" w:themeFill="text2"/>
            <w:vAlign w:val="center"/>
          </w:tcPr>
          <w:p w14:paraId="33627AD8"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18343A90" w:rsidR="00A40178" w:rsidRPr="00B26406" w:rsidRDefault="00876828" w:rsidP="00712167">
            <w:pPr>
              <w:spacing w:before="200" w:after="200"/>
              <w:jc w:val="both"/>
              <w:rPr>
                <w:rFonts w:ascii="Calibri" w:hAnsi="Calibri"/>
                <w:sz w:val="28"/>
                <w:szCs w:val="28"/>
              </w:rPr>
            </w:pPr>
            <w:r w:rsidRPr="00876828">
              <w:rPr>
                <w:rFonts w:ascii="Calibri" w:hAnsi="Calibri"/>
                <w:sz w:val="28"/>
                <w:szCs w:val="28"/>
              </w:rPr>
              <w:t>September 2</w:t>
            </w:r>
            <w:r w:rsidR="008D5425">
              <w:rPr>
                <w:rFonts w:ascii="Calibri" w:hAnsi="Calibri"/>
                <w:sz w:val="28"/>
                <w:szCs w:val="28"/>
              </w:rPr>
              <w:t>02</w:t>
            </w:r>
            <w:r w:rsidR="000E1936">
              <w:rPr>
                <w:rFonts w:ascii="Calibri" w:hAnsi="Calibri"/>
                <w:sz w:val="28"/>
                <w:szCs w:val="28"/>
              </w:rPr>
              <w:t>5</w:t>
            </w:r>
          </w:p>
        </w:tc>
      </w:tr>
      <w:tr w:rsidR="00A40178" w:rsidRPr="00B26406" w14:paraId="13B9F795" w14:textId="77777777" w:rsidTr="00612266">
        <w:tc>
          <w:tcPr>
            <w:tcW w:w="2943" w:type="dxa"/>
            <w:shd w:val="clear" w:color="auto" w:fill="099BDD" w:themeFill="text2"/>
            <w:vAlign w:val="center"/>
          </w:tcPr>
          <w:p w14:paraId="46B13B10" w14:textId="77777777" w:rsidR="00A40178" w:rsidRPr="00B26406" w:rsidRDefault="00A40178" w:rsidP="00712167">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4282B3C5" w:rsidR="00A40178" w:rsidRPr="00B26406" w:rsidRDefault="00C612F1" w:rsidP="00712167">
            <w:pPr>
              <w:spacing w:before="200" w:after="200"/>
              <w:jc w:val="both"/>
              <w:rPr>
                <w:rFonts w:ascii="Calibri" w:hAnsi="Calibri"/>
                <w:sz w:val="28"/>
                <w:szCs w:val="28"/>
              </w:rPr>
            </w:pPr>
            <w:r>
              <w:rPr>
                <w:rFonts w:ascii="Calibri" w:hAnsi="Calibri"/>
                <w:sz w:val="28"/>
                <w:szCs w:val="28"/>
              </w:rPr>
              <w:t xml:space="preserve">Accountable Emergency Officer &amp; Response Policy </w:t>
            </w:r>
            <w:r w:rsidR="00E55293">
              <w:rPr>
                <w:rFonts w:ascii="Calibri" w:hAnsi="Calibri"/>
                <w:sz w:val="28"/>
                <w:szCs w:val="28"/>
              </w:rPr>
              <w:t>V</w:t>
            </w:r>
            <w:r w:rsidR="005F577C">
              <w:rPr>
                <w:rFonts w:ascii="Calibri" w:hAnsi="Calibri"/>
                <w:sz w:val="28"/>
                <w:szCs w:val="28"/>
              </w:rPr>
              <w:t>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6654EAB1" w14:textId="7984F710" w:rsidR="00033A0A" w:rsidRPr="00033A0A" w:rsidRDefault="008D5425" w:rsidP="008D5425">
      <w:pPr>
        <w:spacing w:after="0" w:line="276" w:lineRule="auto"/>
        <w:rPr>
          <w:rFonts w:ascii="Calibri" w:hAnsi="Calibri"/>
          <w:bCs/>
          <w:sz w:val="24"/>
          <w:szCs w:val="24"/>
        </w:rPr>
      </w:pPr>
      <w:r>
        <w:rPr>
          <w:rFonts w:ascii="Calibri" w:hAnsi="Calibri"/>
          <w:bCs/>
          <w:sz w:val="24"/>
          <w:szCs w:val="24"/>
        </w:rPr>
        <w:t>NHS Core standar</w:t>
      </w:r>
      <w:r w:rsidR="00712167">
        <w:rPr>
          <w:rFonts w:ascii="Calibri" w:hAnsi="Calibri"/>
          <w:bCs/>
          <w:sz w:val="24"/>
          <w:szCs w:val="24"/>
        </w:rPr>
        <w:t>d</w:t>
      </w:r>
      <w:r>
        <w:rPr>
          <w:rFonts w:ascii="Calibri" w:hAnsi="Calibri"/>
          <w:bCs/>
          <w:sz w:val="24"/>
          <w:szCs w:val="24"/>
        </w:rPr>
        <w:t>s for emergency preparedness resilience and response guidance</w:t>
      </w:r>
    </w:p>
    <w:p w14:paraId="0CBF26FC" w14:textId="7ECA4260" w:rsidR="00A40178"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77"/>
        <w:gridCol w:w="1305"/>
        <w:gridCol w:w="1496"/>
        <w:gridCol w:w="1934"/>
        <w:gridCol w:w="3438"/>
      </w:tblGrid>
      <w:tr w:rsidR="008D5425" w:rsidRPr="00B26406" w14:paraId="176C130C" w14:textId="77777777" w:rsidTr="0075139C">
        <w:tc>
          <w:tcPr>
            <w:tcW w:w="1177" w:type="dxa"/>
            <w:shd w:val="clear" w:color="auto" w:fill="099BDD" w:themeFill="text2"/>
          </w:tcPr>
          <w:p w14:paraId="0E985D77" w14:textId="77777777" w:rsidR="008D5425" w:rsidRPr="00B26406" w:rsidRDefault="008D5425" w:rsidP="0075139C">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305" w:type="dxa"/>
            <w:shd w:val="clear" w:color="auto" w:fill="099BDD" w:themeFill="text2"/>
          </w:tcPr>
          <w:p w14:paraId="06464A84" w14:textId="77777777" w:rsidR="008D5425" w:rsidRPr="00B26406" w:rsidRDefault="008D5425" w:rsidP="0075139C">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496" w:type="dxa"/>
            <w:shd w:val="clear" w:color="auto" w:fill="099BDD" w:themeFill="text2"/>
          </w:tcPr>
          <w:p w14:paraId="51A56AD7" w14:textId="77777777" w:rsidR="008D5425" w:rsidRPr="00B26406" w:rsidRDefault="008D5425" w:rsidP="0075139C">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34" w:type="dxa"/>
            <w:shd w:val="clear" w:color="auto" w:fill="099BDD" w:themeFill="text2"/>
          </w:tcPr>
          <w:p w14:paraId="52009F7C" w14:textId="77777777" w:rsidR="008D5425" w:rsidRPr="00B26406" w:rsidRDefault="008D5425" w:rsidP="0075139C">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38" w:type="dxa"/>
            <w:shd w:val="clear" w:color="auto" w:fill="099BDD" w:themeFill="text2"/>
          </w:tcPr>
          <w:p w14:paraId="7CF328AB" w14:textId="77777777" w:rsidR="008D5425" w:rsidRPr="00B26406" w:rsidRDefault="008D5425" w:rsidP="0075139C">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8D5425" w:rsidRPr="00B26406" w14:paraId="18ECE949" w14:textId="77777777" w:rsidTr="0075139C">
        <w:tc>
          <w:tcPr>
            <w:tcW w:w="1177" w:type="dxa"/>
          </w:tcPr>
          <w:p w14:paraId="28236EA1" w14:textId="77777777" w:rsidR="008D5425" w:rsidRPr="00B26406" w:rsidRDefault="008D5425" w:rsidP="0075139C">
            <w:pPr>
              <w:spacing w:before="0" w:line="276" w:lineRule="auto"/>
              <w:rPr>
                <w:rFonts w:ascii="Calibri" w:hAnsi="Calibri"/>
              </w:rPr>
            </w:pPr>
            <w:r>
              <w:rPr>
                <w:rFonts w:ascii="Calibri" w:hAnsi="Calibri"/>
              </w:rPr>
              <w:t>Final</w:t>
            </w:r>
          </w:p>
        </w:tc>
        <w:tc>
          <w:tcPr>
            <w:tcW w:w="1305" w:type="dxa"/>
          </w:tcPr>
          <w:p w14:paraId="7257E3F6" w14:textId="16CF3984" w:rsidR="008D5425" w:rsidRPr="00B26406" w:rsidRDefault="008D5425" w:rsidP="0075139C">
            <w:pPr>
              <w:spacing w:before="0" w:line="276" w:lineRule="auto"/>
              <w:rPr>
                <w:rFonts w:ascii="Calibri" w:hAnsi="Calibri"/>
              </w:rPr>
            </w:pPr>
            <w:r>
              <w:rPr>
                <w:rFonts w:ascii="Calibri" w:hAnsi="Calibri"/>
              </w:rPr>
              <w:t xml:space="preserve">Oct </w:t>
            </w:r>
            <w:r w:rsidR="00712167">
              <w:rPr>
                <w:rFonts w:ascii="Calibri" w:hAnsi="Calibri"/>
              </w:rPr>
              <w:t>20</w:t>
            </w:r>
            <w:r>
              <w:rPr>
                <w:rFonts w:ascii="Calibri" w:hAnsi="Calibri"/>
              </w:rPr>
              <w:t>21</w:t>
            </w:r>
          </w:p>
        </w:tc>
        <w:tc>
          <w:tcPr>
            <w:tcW w:w="1496" w:type="dxa"/>
          </w:tcPr>
          <w:p w14:paraId="30D14D87" w14:textId="77777777" w:rsidR="008D5425" w:rsidRPr="00B26406" w:rsidRDefault="008D5425" w:rsidP="0075139C">
            <w:pPr>
              <w:spacing w:before="0" w:line="276" w:lineRule="auto"/>
              <w:rPr>
                <w:rFonts w:ascii="Calibri" w:hAnsi="Calibri"/>
              </w:rPr>
            </w:pPr>
            <w:r>
              <w:rPr>
                <w:rFonts w:ascii="Calibri" w:hAnsi="Calibri"/>
              </w:rPr>
              <w:t>JL</w:t>
            </w:r>
          </w:p>
        </w:tc>
        <w:tc>
          <w:tcPr>
            <w:tcW w:w="1934" w:type="dxa"/>
          </w:tcPr>
          <w:p w14:paraId="689802F1" w14:textId="77777777" w:rsidR="008D5425" w:rsidRPr="00B26406" w:rsidRDefault="008D5425" w:rsidP="0075139C">
            <w:pPr>
              <w:spacing w:before="0" w:line="276" w:lineRule="auto"/>
              <w:rPr>
                <w:rFonts w:ascii="Calibri" w:hAnsi="Calibri"/>
              </w:rPr>
            </w:pPr>
            <w:r>
              <w:rPr>
                <w:rFonts w:ascii="Calibri" w:hAnsi="Calibri"/>
              </w:rPr>
              <w:t>JL</w:t>
            </w:r>
          </w:p>
        </w:tc>
        <w:tc>
          <w:tcPr>
            <w:tcW w:w="3438" w:type="dxa"/>
          </w:tcPr>
          <w:p w14:paraId="2AB5BBA8" w14:textId="77777777" w:rsidR="008D5425" w:rsidRPr="00B26406" w:rsidRDefault="008D5425" w:rsidP="0075139C">
            <w:pPr>
              <w:spacing w:before="0" w:line="276" w:lineRule="auto"/>
              <w:rPr>
                <w:rFonts w:ascii="Calibri" w:hAnsi="Calibri"/>
              </w:rPr>
            </w:pPr>
            <w:r>
              <w:rPr>
                <w:rFonts w:ascii="Calibri" w:hAnsi="Calibri"/>
              </w:rPr>
              <w:t>Applied</w:t>
            </w:r>
          </w:p>
        </w:tc>
      </w:tr>
      <w:tr w:rsidR="008D5425" w:rsidRPr="00B26406" w14:paraId="4DF92113" w14:textId="77777777" w:rsidTr="0075139C">
        <w:tc>
          <w:tcPr>
            <w:tcW w:w="1177" w:type="dxa"/>
          </w:tcPr>
          <w:p w14:paraId="53BE5369" w14:textId="77777777" w:rsidR="008D5425" w:rsidRPr="00B26406" w:rsidRDefault="008D5425" w:rsidP="0075139C">
            <w:pPr>
              <w:spacing w:before="0" w:line="276" w:lineRule="auto"/>
              <w:rPr>
                <w:rFonts w:ascii="Calibri" w:hAnsi="Calibri"/>
              </w:rPr>
            </w:pPr>
          </w:p>
        </w:tc>
        <w:tc>
          <w:tcPr>
            <w:tcW w:w="1305" w:type="dxa"/>
          </w:tcPr>
          <w:p w14:paraId="4792BE55" w14:textId="6F34598C" w:rsidR="008D5425" w:rsidRPr="00B26406" w:rsidRDefault="008D5425" w:rsidP="0075139C">
            <w:pPr>
              <w:spacing w:before="0" w:line="276" w:lineRule="auto"/>
              <w:rPr>
                <w:rFonts w:ascii="Calibri" w:hAnsi="Calibri"/>
              </w:rPr>
            </w:pPr>
            <w:r>
              <w:rPr>
                <w:rFonts w:ascii="Calibri" w:hAnsi="Calibri"/>
              </w:rPr>
              <w:t xml:space="preserve">Sep </w:t>
            </w:r>
            <w:r w:rsidR="00712167">
              <w:rPr>
                <w:rFonts w:ascii="Calibri" w:hAnsi="Calibri"/>
              </w:rPr>
              <w:t>20</w:t>
            </w:r>
            <w:r>
              <w:rPr>
                <w:rFonts w:ascii="Calibri" w:hAnsi="Calibri"/>
              </w:rPr>
              <w:t>23</w:t>
            </w:r>
          </w:p>
        </w:tc>
        <w:tc>
          <w:tcPr>
            <w:tcW w:w="1496" w:type="dxa"/>
          </w:tcPr>
          <w:p w14:paraId="639C9EE4" w14:textId="77777777" w:rsidR="008D5425" w:rsidRPr="00B26406" w:rsidRDefault="008D5425" w:rsidP="0075139C">
            <w:pPr>
              <w:spacing w:before="0" w:line="276" w:lineRule="auto"/>
              <w:rPr>
                <w:rFonts w:ascii="Calibri" w:hAnsi="Calibri"/>
              </w:rPr>
            </w:pPr>
          </w:p>
        </w:tc>
        <w:tc>
          <w:tcPr>
            <w:tcW w:w="1934" w:type="dxa"/>
          </w:tcPr>
          <w:p w14:paraId="0A886CC5" w14:textId="77777777" w:rsidR="008D5425" w:rsidRPr="00B26406" w:rsidRDefault="008D5425" w:rsidP="0075139C">
            <w:pPr>
              <w:spacing w:before="0" w:line="276" w:lineRule="auto"/>
              <w:rPr>
                <w:rFonts w:ascii="Calibri" w:hAnsi="Calibri"/>
              </w:rPr>
            </w:pPr>
          </w:p>
        </w:tc>
        <w:tc>
          <w:tcPr>
            <w:tcW w:w="3438" w:type="dxa"/>
          </w:tcPr>
          <w:p w14:paraId="2EC1702C" w14:textId="77777777" w:rsidR="008D5425" w:rsidRPr="00B26406" w:rsidRDefault="008D5425" w:rsidP="0075139C">
            <w:pPr>
              <w:spacing w:before="0" w:line="276" w:lineRule="auto"/>
              <w:rPr>
                <w:rFonts w:ascii="Calibri" w:hAnsi="Calibri"/>
              </w:rPr>
            </w:pPr>
            <w:r>
              <w:rPr>
                <w:rFonts w:ascii="Calibri" w:hAnsi="Calibri"/>
              </w:rPr>
              <w:t>Reviewed. Changed to JL title.</w:t>
            </w:r>
          </w:p>
        </w:tc>
      </w:tr>
    </w:tbl>
    <w:p w14:paraId="13EC2E33" w14:textId="66B34F7B" w:rsidR="008D5425" w:rsidRDefault="008D5425" w:rsidP="00A40178">
      <w:pPr>
        <w:spacing w:line="276" w:lineRule="auto"/>
        <w:rPr>
          <w:rFonts w:ascii="Calibri" w:hAnsi="Calibri"/>
          <w:b/>
          <w:color w:val="099BDD" w:themeColor="text2"/>
          <w:sz w:val="24"/>
          <w:szCs w:val="24"/>
        </w:rPr>
      </w:pPr>
    </w:p>
    <w:p w14:paraId="07FD1826" w14:textId="77777777" w:rsidR="008D5425" w:rsidRDefault="008D5425" w:rsidP="008D5425">
      <w:pPr>
        <w:spacing w:before="0" w:after="0" w:line="240" w:lineRule="auto"/>
        <w:rPr>
          <w:rFonts w:ascii="Calibri" w:hAnsi="Calibri"/>
          <w:b/>
          <w:color w:val="099BDD" w:themeColor="text2"/>
          <w:sz w:val="24"/>
          <w:szCs w:val="24"/>
        </w:rPr>
      </w:pPr>
    </w:p>
    <w:p w14:paraId="49CD5AB5" w14:textId="661DBF5F" w:rsidR="008D5425" w:rsidRDefault="008D5425" w:rsidP="008D5425">
      <w:pPr>
        <w:spacing w:before="0" w:after="0" w:line="240" w:lineRule="auto"/>
        <w:rPr>
          <w:rFonts w:ascii="Calibri" w:hAnsi="Calibri"/>
          <w:b/>
          <w:color w:val="099BDD" w:themeColor="text2"/>
          <w:sz w:val="24"/>
          <w:szCs w:val="24"/>
        </w:rPr>
      </w:pPr>
    </w:p>
    <w:p w14:paraId="1E4395C0" w14:textId="21D4B25B" w:rsidR="008D5425" w:rsidRDefault="008D5425" w:rsidP="008D5425">
      <w:pPr>
        <w:spacing w:before="0" w:after="0" w:line="240" w:lineRule="auto"/>
        <w:rPr>
          <w:rFonts w:ascii="Calibri" w:hAnsi="Calibri"/>
          <w:b/>
          <w:color w:val="099BDD" w:themeColor="text2"/>
          <w:sz w:val="24"/>
          <w:szCs w:val="24"/>
        </w:rPr>
      </w:pPr>
    </w:p>
    <w:p w14:paraId="6EE5B540" w14:textId="19365F30" w:rsidR="008D5425" w:rsidRPr="00CB5385" w:rsidRDefault="008D5425" w:rsidP="008D5425">
      <w:pPr>
        <w:pStyle w:val="Heading1"/>
        <w:rPr>
          <w:rFonts w:ascii="Calibri" w:hAnsi="Calibri" w:cs="Calibri"/>
        </w:rPr>
      </w:pPr>
      <w:r>
        <w:rPr>
          <w:rFonts w:ascii="Calibri" w:hAnsi="Calibri" w:cs="Calibri"/>
        </w:rPr>
        <w:t xml:space="preserve">  CORE STANDARDS FOr emergency prePARDNESS, RESILIENCe &amp; response guidanCe</w:t>
      </w:r>
    </w:p>
    <w:p w14:paraId="5AA1C72D" w14:textId="77777777" w:rsidR="008D5425" w:rsidRDefault="008D5425" w:rsidP="008D5425">
      <w:pPr>
        <w:spacing w:before="0" w:after="0" w:line="240" w:lineRule="auto"/>
        <w:rPr>
          <w:rFonts w:ascii="Calibri" w:hAnsi="Calibri"/>
          <w:b/>
          <w:color w:val="099BDD" w:themeColor="text2"/>
          <w:sz w:val="24"/>
          <w:szCs w:val="24"/>
        </w:rPr>
      </w:pPr>
    </w:p>
    <w:p w14:paraId="2CABD526"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1. Introduction </w:t>
      </w:r>
      <w:r w:rsidRPr="008D5425">
        <w:rPr>
          <w:rFonts w:ascii="Calibri" w:hAnsi="Calibri" w:cs="Calibri"/>
          <w:b/>
          <w:bCs/>
          <w:color w:val="auto"/>
          <w:sz w:val="22"/>
          <w:szCs w:val="22"/>
        </w:rPr>
        <w:br/>
      </w:r>
    </w:p>
    <w:p w14:paraId="571CE872" w14:textId="7C3BE6D0"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is a provider of NHS Services and as such is obliged to respond and act upon the NHS England Emergency Preparedness, Resilience and Response (EPRR) Framework to ensure that the company can effectively respond to major, critical and business continuity incidents whilst maintaining services to patients and member practices. </w:t>
      </w:r>
    </w:p>
    <w:p w14:paraId="0B0E4EDC" w14:textId="77777777" w:rsidR="008D5425" w:rsidRPr="008D5425" w:rsidRDefault="008D5425" w:rsidP="008D5425">
      <w:pPr>
        <w:pStyle w:val="Default"/>
        <w:rPr>
          <w:rFonts w:ascii="Calibri" w:hAnsi="Calibri" w:cs="Calibri"/>
          <w:color w:val="auto"/>
          <w:sz w:val="22"/>
          <w:szCs w:val="22"/>
        </w:rPr>
      </w:pPr>
    </w:p>
    <w:p w14:paraId="3EF4018C" w14:textId="0FDBC916"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This document will outline the standards that Castleman Healthcare Ltd will adhere to. </w:t>
      </w:r>
    </w:p>
    <w:p w14:paraId="31EC3778"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4E18C7B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2. Relevant legislation and guidance</w:t>
      </w:r>
      <w:r w:rsidRPr="008D5425">
        <w:rPr>
          <w:rFonts w:ascii="Calibri" w:hAnsi="Calibri" w:cs="Calibri"/>
          <w:b/>
          <w:bCs/>
          <w:color w:val="auto"/>
          <w:sz w:val="22"/>
          <w:szCs w:val="22"/>
        </w:rPr>
        <w:br/>
        <w:t xml:space="preserve"> </w:t>
      </w:r>
    </w:p>
    <w:p w14:paraId="27B39300"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The Civil Contingencies Act 2004 and the NHS Act 2006, as amended by the Health and Social Care Act 2012, underpin EPRR within health. </w:t>
      </w:r>
    </w:p>
    <w:p w14:paraId="2F1B2BB6" w14:textId="77777777" w:rsidR="008D5425" w:rsidRPr="008D5425" w:rsidRDefault="008D5425" w:rsidP="008D5425">
      <w:pPr>
        <w:pStyle w:val="Default"/>
        <w:rPr>
          <w:rFonts w:ascii="Calibri" w:hAnsi="Calibri" w:cs="Calibri"/>
          <w:color w:val="auto"/>
          <w:sz w:val="22"/>
          <w:szCs w:val="22"/>
        </w:rPr>
      </w:pPr>
    </w:p>
    <w:p w14:paraId="4068AE3F"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Both Acts place EPRR duties on NHS England and the NHS in England. </w:t>
      </w:r>
    </w:p>
    <w:p w14:paraId="0AF18B85" w14:textId="77777777" w:rsidR="008D5425" w:rsidRPr="008D5425" w:rsidRDefault="008D5425" w:rsidP="008D5425">
      <w:pPr>
        <w:pStyle w:val="Default"/>
        <w:rPr>
          <w:rFonts w:ascii="Calibri" w:hAnsi="Calibri" w:cs="Calibri"/>
          <w:color w:val="auto"/>
          <w:sz w:val="22"/>
          <w:szCs w:val="22"/>
        </w:rPr>
      </w:pPr>
    </w:p>
    <w:p w14:paraId="6F821E9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Additionally, the NHS Standard Contract Service Conditions (SC30) requires providers of NHS funded services to comply with the EPRR Framework and other NHS England guidance. </w:t>
      </w:r>
    </w:p>
    <w:p w14:paraId="6DDD812A" w14:textId="77777777" w:rsidR="008D5425" w:rsidRPr="008D5425" w:rsidRDefault="008D5425" w:rsidP="008D5425">
      <w:pPr>
        <w:pStyle w:val="Default"/>
        <w:rPr>
          <w:rFonts w:ascii="Calibri" w:hAnsi="Calibri" w:cs="Calibri"/>
          <w:b/>
          <w:bCs/>
          <w:color w:val="auto"/>
          <w:sz w:val="22"/>
          <w:szCs w:val="22"/>
        </w:rPr>
      </w:pPr>
      <w:r w:rsidRPr="008D5425">
        <w:rPr>
          <w:rFonts w:ascii="Calibri" w:hAnsi="Calibri" w:cs="Calibri"/>
          <w:b/>
          <w:bCs/>
          <w:color w:val="auto"/>
          <w:sz w:val="22"/>
          <w:szCs w:val="22"/>
        </w:rPr>
        <w:br/>
      </w:r>
    </w:p>
    <w:p w14:paraId="65B12C81"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3. EPRR annual assurance process </w:t>
      </w:r>
      <w:r w:rsidRPr="008D5425">
        <w:rPr>
          <w:rFonts w:ascii="Calibri" w:hAnsi="Calibri" w:cs="Calibri"/>
          <w:b/>
          <w:bCs/>
          <w:color w:val="auto"/>
          <w:sz w:val="22"/>
          <w:szCs w:val="22"/>
        </w:rPr>
        <w:br/>
      </w:r>
    </w:p>
    <w:p w14:paraId="590541A1" w14:textId="17503CDF"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will assess annually, as part of the statutory requirements brought in by the EPRR, its own processes and contingency plans.  </w:t>
      </w:r>
    </w:p>
    <w:p w14:paraId="39B3A57D" w14:textId="77777777" w:rsidR="008D5425" w:rsidRPr="008D5425" w:rsidRDefault="008D5425" w:rsidP="008D5425">
      <w:pPr>
        <w:pStyle w:val="Default"/>
        <w:rPr>
          <w:rFonts w:ascii="Calibri" w:hAnsi="Calibri" w:cs="Calibri"/>
          <w:color w:val="auto"/>
          <w:sz w:val="22"/>
          <w:szCs w:val="22"/>
        </w:rPr>
      </w:pPr>
    </w:p>
    <w:p w14:paraId="3BE08ABF"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The NHS Core Standards for EPRR provide a common reference point for all organisations and as such this document has been written based on the recommendations of the EPRR.</w:t>
      </w:r>
    </w:p>
    <w:p w14:paraId="30378F2A" w14:textId="77777777" w:rsidR="008D5425" w:rsidRPr="008D5425" w:rsidRDefault="008D5425" w:rsidP="008D5425">
      <w:pPr>
        <w:pStyle w:val="Default"/>
        <w:rPr>
          <w:rFonts w:ascii="Calibri" w:hAnsi="Calibri" w:cs="Calibri"/>
          <w:color w:val="auto"/>
          <w:sz w:val="22"/>
          <w:szCs w:val="22"/>
        </w:rPr>
      </w:pPr>
    </w:p>
    <w:p w14:paraId="5E7C0690"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will complete an assurance self-assessment based on the EPRR core standards. </w:t>
      </w:r>
    </w:p>
    <w:p w14:paraId="5714A704" w14:textId="77777777" w:rsidR="008D5425" w:rsidRPr="008D5425" w:rsidRDefault="008D5425" w:rsidP="008D5425">
      <w:pPr>
        <w:pStyle w:val="Default"/>
        <w:rPr>
          <w:rFonts w:ascii="Calibri" w:hAnsi="Calibri" w:cs="Calibri"/>
          <w:b/>
          <w:bCs/>
          <w:color w:val="auto"/>
          <w:sz w:val="22"/>
          <w:szCs w:val="22"/>
        </w:rPr>
      </w:pPr>
      <w:r w:rsidRPr="008D5425">
        <w:rPr>
          <w:rFonts w:ascii="Calibri" w:hAnsi="Calibri" w:cs="Calibri"/>
          <w:b/>
          <w:bCs/>
          <w:color w:val="auto"/>
          <w:sz w:val="22"/>
          <w:szCs w:val="22"/>
        </w:rPr>
        <w:br/>
      </w:r>
    </w:p>
    <w:p w14:paraId="4E582316" w14:textId="77777777" w:rsidR="008D5425" w:rsidRPr="008D5425" w:rsidRDefault="008D5425" w:rsidP="008D5425">
      <w:pPr>
        <w:pStyle w:val="Default"/>
        <w:rPr>
          <w:rFonts w:ascii="Calibri" w:hAnsi="Calibri" w:cs="Calibri"/>
          <w:b/>
          <w:bCs/>
          <w:color w:val="099BDD" w:themeColor="text2"/>
          <w:sz w:val="22"/>
          <w:szCs w:val="22"/>
        </w:rPr>
      </w:pPr>
      <w:r w:rsidRPr="008D5425">
        <w:rPr>
          <w:rFonts w:ascii="Calibri" w:hAnsi="Calibri" w:cs="Calibri"/>
          <w:b/>
          <w:bCs/>
          <w:color w:val="099BDD" w:themeColor="text2"/>
          <w:sz w:val="22"/>
          <w:szCs w:val="22"/>
        </w:rPr>
        <w:t xml:space="preserve">4. Core Standards for EPRR </w:t>
      </w:r>
    </w:p>
    <w:p w14:paraId="2646ECA5" w14:textId="77777777" w:rsidR="008D5425" w:rsidRPr="008D5425" w:rsidRDefault="008D5425" w:rsidP="008D5425">
      <w:pPr>
        <w:pStyle w:val="Default"/>
        <w:rPr>
          <w:rFonts w:ascii="Calibri" w:hAnsi="Calibri" w:cs="Calibri"/>
          <w:color w:val="auto"/>
          <w:sz w:val="22"/>
          <w:szCs w:val="22"/>
        </w:rPr>
      </w:pPr>
    </w:p>
    <w:p w14:paraId="09F12DC4"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The NHS Core Standards for EPRR cover ten domains: </w:t>
      </w:r>
    </w:p>
    <w:p w14:paraId="0475780C"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1. Governance </w:t>
      </w:r>
    </w:p>
    <w:p w14:paraId="298B0E8C"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2. Duty to risk assess </w:t>
      </w:r>
    </w:p>
    <w:p w14:paraId="56B9CE73"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3. Duty to maintain plans </w:t>
      </w:r>
    </w:p>
    <w:p w14:paraId="3131F775"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4. Command and control </w:t>
      </w:r>
    </w:p>
    <w:p w14:paraId="64EF09A3"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5. Training and exercising </w:t>
      </w:r>
    </w:p>
    <w:p w14:paraId="41518CA7"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6. Response </w:t>
      </w:r>
    </w:p>
    <w:p w14:paraId="708DC5B8"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lastRenderedPageBreak/>
        <w:t xml:space="preserve">7. Warning and informing </w:t>
      </w:r>
    </w:p>
    <w:p w14:paraId="09E728FF"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8. Cooperation </w:t>
      </w:r>
    </w:p>
    <w:p w14:paraId="041C6993"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9. Business continuity </w:t>
      </w:r>
    </w:p>
    <w:p w14:paraId="510AE2F3" w14:textId="77777777" w:rsidR="008D5425" w:rsidRPr="008D5425" w:rsidRDefault="008D5425" w:rsidP="008D5425">
      <w:pPr>
        <w:pStyle w:val="Default"/>
        <w:spacing w:after="20"/>
        <w:rPr>
          <w:rFonts w:ascii="Calibri" w:hAnsi="Calibri" w:cs="Calibri"/>
          <w:color w:val="auto"/>
          <w:sz w:val="22"/>
          <w:szCs w:val="22"/>
        </w:rPr>
      </w:pPr>
      <w:r w:rsidRPr="008D5425">
        <w:rPr>
          <w:rFonts w:ascii="Calibri" w:hAnsi="Calibri" w:cs="Calibri"/>
          <w:color w:val="auto"/>
          <w:sz w:val="22"/>
          <w:szCs w:val="22"/>
        </w:rPr>
        <w:t xml:space="preserve">10. Chemical Biological Radiological Nuclear (CBRN) and Hazardous Material (HAZMAT). </w:t>
      </w:r>
    </w:p>
    <w:p w14:paraId="29B1671C"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15CD670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4.1 Governance </w:t>
      </w:r>
      <w:r w:rsidRPr="008D5425">
        <w:rPr>
          <w:rFonts w:ascii="Calibri" w:hAnsi="Calibri" w:cs="Calibri"/>
          <w:b/>
          <w:bCs/>
          <w:color w:val="auto"/>
          <w:sz w:val="22"/>
          <w:szCs w:val="22"/>
        </w:rPr>
        <w:br/>
      </w:r>
    </w:p>
    <w:p w14:paraId="03F73B50"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The EPRR stated that NHS providers much have a statement in place outlining the company’s commitment to deliver EPRR and part of this document forms that statement.  </w:t>
      </w:r>
    </w:p>
    <w:p w14:paraId="3EAB1A85" w14:textId="77777777" w:rsidR="008D5425" w:rsidRPr="008D5425" w:rsidRDefault="008D5425" w:rsidP="008D5425">
      <w:pPr>
        <w:pStyle w:val="Default"/>
        <w:rPr>
          <w:rFonts w:ascii="Calibri" w:hAnsi="Calibri" w:cs="Calibri"/>
          <w:color w:val="auto"/>
          <w:sz w:val="22"/>
          <w:szCs w:val="22"/>
        </w:rPr>
      </w:pPr>
    </w:p>
    <w:p w14:paraId="45252B78"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Organisations must have an appointed Accountable Emergency Officer (AEO) who is a board level director and responsible for EPRR in their organisation. </w:t>
      </w:r>
    </w:p>
    <w:p w14:paraId="3E017B8D" w14:textId="77777777" w:rsidR="008D5425" w:rsidRPr="008D5425" w:rsidRDefault="008D5425" w:rsidP="008D5425">
      <w:pPr>
        <w:pStyle w:val="Default"/>
        <w:rPr>
          <w:rFonts w:ascii="Calibri" w:hAnsi="Calibri" w:cs="Calibri"/>
          <w:color w:val="auto"/>
          <w:sz w:val="22"/>
          <w:szCs w:val="22"/>
        </w:rPr>
      </w:pPr>
    </w:p>
    <w:p w14:paraId="59EDABB5"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Castleman’s appointed Accountable Emergency Officer is James Leyland, Director of HR. </w:t>
      </w:r>
    </w:p>
    <w:p w14:paraId="0DE136A4" w14:textId="77777777" w:rsidR="008D5425" w:rsidRPr="008D5425" w:rsidRDefault="008D5425" w:rsidP="008D5425">
      <w:pPr>
        <w:pStyle w:val="Default"/>
        <w:rPr>
          <w:rFonts w:ascii="Calibri" w:hAnsi="Calibri" w:cs="Calibri"/>
          <w:color w:val="auto"/>
          <w:sz w:val="22"/>
          <w:szCs w:val="22"/>
        </w:rPr>
      </w:pPr>
    </w:p>
    <w:p w14:paraId="13F9FD09"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James Leyland will be supported by a non-executive board member. </w:t>
      </w:r>
    </w:p>
    <w:p w14:paraId="786CF25F" w14:textId="77777777" w:rsidR="008D5425" w:rsidRPr="008D5425" w:rsidRDefault="008D5425" w:rsidP="008D5425">
      <w:pPr>
        <w:pStyle w:val="Default"/>
        <w:rPr>
          <w:rFonts w:ascii="Calibri" w:hAnsi="Calibri" w:cs="Calibri"/>
          <w:b/>
          <w:bCs/>
          <w:color w:val="auto"/>
          <w:sz w:val="22"/>
          <w:szCs w:val="22"/>
        </w:rPr>
      </w:pPr>
      <w:r w:rsidRPr="008D5425">
        <w:rPr>
          <w:rFonts w:ascii="Calibri" w:hAnsi="Calibri" w:cs="Calibri"/>
          <w:b/>
          <w:bCs/>
          <w:color w:val="auto"/>
          <w:sz w:val="22"/>
          <w:szCs w:val="22"/>
        </w:rPr>
        <w:br/>
      </w:r>
    </w:p>
    <w:p w14:paraId="069B17E2" w14:textId="77777777" w:rsidR="008D5425" w:rsidRPr="008D5425" w:rsidRDefault="008D5425" w:rsidP="008D5425">
      <w:pPr>
        <w:pStyle w:val="Default"/>
        <w:rPr>
          <w:rFonts w:ascii="Calibri" w:hAnsi="Calibri" w:cs="Calibri"/>
          <w:b/>
          <w:bCs/>
          <w:color w:val="auto"/>
          <w:sz w:val="22"/>
          <w:szCs w:val="22"/>
        </w:rPr>
      </w:pPr>
      <w:r w:rsidRPr="008D5425">
        <w:rPr>
          <w:rFonts w:ascii="Calibri" w:hAnsi="Calibri" w:cs="Calibri"/>
          <w:b/>
          <w:bCs/>
          <w:color w:val="099BDD" w:themeColor="text2"/>
          <w:sz w:val="22"/>
          <w:szCs w:val="22"/>
        </w:rPr>
        <w:t xml:space="preserve">4.2 Duty to risk assess </w:t>
      </w:r>
      <w:r w:rsidRPr="008D5425">
        <w:rPr>
          <w:rFonts w:ascii="Calibri" w:hAnsi="Calibri" w:cs="Calibri"/>
          <w:b/>
          <w:bCs/>
          <w:color w:val="auto"/>
          <w:sz w:val="22"/>
          <w:szCs w:val="22"/>
        </w:rPr>
        <w:br/>
      </w:r>
    </w:p>
    <w:p w14:paraId="06EFE5D6"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has provisions in place to regularly assess the risks to the population it serves. This is largely the responsibility of Castleman’s member practice who use various stratification tools such as QOF, PARM, the </w:t>
      </w:r>
      <w:proofErr w:type="spellStart"/>
      <w:r w:rsidRPr="008D5425">
        <w:rPr>
          <w:rFonts w:ascii="Calibri" w:hAnsi="Calibri" w:cs="Calibri"/>
          <w:color w:val="auto"/>
          <w:sz w:val="22"/>
          <w:szCs w:val="22"/>
        </w:rPr>
        <w:t>DiiS</w:t>
      </w:r>
      <w:proofErr w:type="spellEnd"/>
      <w:r w:rsidRPr="008D5425">
        <w:rPr>
          <w:rFonts w:ascii="Calibri" w:hAnsi="Calibri" w:cs="Calibri"/>
          <w:color w:val="auto"/>
          <w:sz w:val="22"/>
          <w:szCs w:val="22"/>
        </w:rPr>
        <w:t xml:space="preserve"> as well as their own in house Health and Safety documentation, business continuity plans, employment checks etc. But where Castleman delivers a service, or helps to deliver one the risks will be stratified and </w:t>
      </w:r>
      <w:proofErr w:type="gramStart"/>
      <w:r w:rsidRPr="008D5425">
        <w:rPr>
          <w:rFonts w:ascii="Calibri" w:hAnsi="Calibri" w:cs="Calibri"/>
          <w:color w:val="auto"/>
          <w:sz w:val="22"/>
          <w:szCs w:val="22"/>
        </w:rPr>
        <w:t>assed</w:t>
      </w:r>
      <w:proofErr w:type="gramEnd"/>
      <w:r w:rsidRPr="008D5425">
        <w:rPr>
          <w:rFonts w:ascii="Calibri" w:hAnsi="Calibri" w:cs="Calibri"/>
          <w:color w:val="auto"/>
          <w:sz w:val="22"/>
          <w:szCs w:val="22"/>
        </w:rPr>
        <w:t xml:space="preserve"> by Castleman Healthcare Ltd in line with local and national risk registers.</w:t>
      </w:r>
    </w:p>
    <w:p w14:paraId="3C510714" w14:textId="77777777" w:rsidR="008D5425" w:rsidRPr="008D5425" w:rsidRDefault="008D5425" w:rsidP="008D5425">
      <w:pPr>
        <w:pStyle w:val="Default"/>
        <w:rPr>
          <w:rFonts w:ascii="Calibri" w:hAnsi="Calibri" w:cs="Calibri"/>
          <w:color w:val="auto"/>
          <w:sz w:val="22"/>
          <w:szCs w:val="22"/>
        </w:rPr>
      </w:pPr>
    </w:p>
    <w:p w14:paraId="0B8956EC" w14:textId="77777777" w:rsidR="008D5425" w:rsidRPr="008D5425" w:rsidRDefault="008D5425" w:rsidP="008D5425">
      <w:pPr>
        <w:pStyle w:val="Default"/>
        <w:rPr>
          <w:rFonts w:ascii="Calibri" w:hAnsi="Calibri" w:cs="Calibri"/>
          <w:color w:val="auto"/>
          <w:sz w:val="22"/>
          <w:szCs w:val="22"/>
        </w:rPr>
      </w:pPr>
    </w:p>
    <w:p w14:paraId="2ED8483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4.3 Duty to maintain plans </w:t>
      </w:r>
      <w:r w:rsidRPr="008D5425">
        <w:rPr>
          <w:rFonts w:ascii="Calibri" w:hAnsi="Calibri" w:cs="Calibri"/>
          <w:b/>
          <w:bCs/>
          <w:color w:val="auto"/>
          <w:sz w:val="22"/>
          <w:szCs w:val="22"/>
        </w:rPr>
        <w:br/>
      </w:r>
    </w:p>
    <w:p w14:paraId="3A584851"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All Castleman plans will set out how the company will respond to and recover from major incidents, critical incidents and business continuity incidents. These will be developed in collaboration with partners, practices and service providers to ensure the whole patient pathway is considered. </w:t>
      </w:r>
    </w:p>
    <w:p w14:paraId="67DB2470"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5D11D4CC" w14:textId="77777777" w:rsidR="008D5425" w:rsidRPr="008D5425" w:rsidRDefault="008D5425" w:rsidP="008D5425">
      <w:pPr>
        <w:pStyle w:val="Default"/>
        <w:rPr>
          <w:rFonts w:ascii="Calibri" w:hAnsi="Calibri" w:cs="Calibri"/>
          <w:b/>
          <w:bCs/>
          <w:color w:val="099BDD" w:themeColor="text2"/>
          <w:sz w:val="22"/>
          <w:szCs w:val="22"/>
        </w:rPr>
      </w:pPr>
      <w:r w:rsidRPr="008D5425">
        <w:rPr>
          <w:rFonts w:ascii="Calibri" w:hAnsi="Calibri" w:cs="Calibri"/>
          <w:b/>
          <w:bCs/>
          <w:color w:val="099BDD" w:themeColor="text2"/>
          <w:sz w:val="22"/>
          <w:szCs w:val="22"/>
        </w:rPr>
        <w:t xml:space="preserve">4.4 Command and control </w:t>
      </w:r>
    </w:p>
    <w:p w14:paraId="101D7678" w14:textId="77777777" w:rsidR="008D5425" w:rsidRPr="008D5425" w:rsidRDefault="008D5425" w:rsidP="008D5425">
      <w:pPr>
        <w:pStyle w:val="Default"/>
        <w:rPr>
          <w:rFonts w:ascii="Calibri" w:hAnsi="Calibri" w:cs="Calibri"/>
          <w:color w:val="auto"/>
          <w:sz w:val="22"/>
          <w:szCs w:val="22"/>
        </w:rPr>
      </w:pPr>
    </w:p>
    <w:p w14:paraId="5556A3B2"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will received EPRR notifications by email / telephoning the Accountable Officer James Leyland 01202 772541 or </w:t>
      </w:r>
      <w:hyperlink r:id="rId9" w:history="1">
        <w:r w:rsidRPr="008D5425">
          <w:rPr>
            <w:rStyle w:val="Hyperlink"/>
            <w:rFonts w:ascii="Calibri" w:hAnsi="Calibri" w:cs="Calibri"/>
            <w:sz w:val="22"/>
            <w:szCs w:val="22"/>
          </w:rPr>
          <w:t>james.leyland@dorsetgp.nhs.uk</w:t>
        </w:r>
      </w:hyperlink>
      <w:r w:rsidRPr="008D5425">
        <w:rPr>
          <w:rFonts w:ascii="Calibri" w:hAnsi="Calibri" w:cs="Calibri"/>
          <w:color w:val="auto"/>
          <w:sz w:val="22"/>
          <w:szCs w:val="22"/>
        </w:rPr>
        <w:t xml:space="preserve">. </w:t>
      </w:r>
    </w:p>
    <w:p w14:paraId="77D2D627"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6E6E84FC"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4.5 Training and exercising </w:t>
      </w:r>
      <w:r w:rsidRPr="008D5425">
        <w:rPr>
          <w:rFonts w:ascii="Calibri" w:hAnsi="Calibri" w:cs="Calibri"/>
          <w:b/>
          <w:bCs/>
          <w:color w:val="auto"/>
          <w:sz w:val="22"/>
          <w:szCs w:val="22"/>
        </w:rPr>
        <w:br/>
      </w:r>
    </w:p>
    <w:p w14:paraId="20F0AA44" w14:textId="7CE5A5B8"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A EPRR training needs analysis will be carried out to ensure this policy is robust. Included in this analysis will be</w:t>
      </w:r>
      <w:r>
        <w:rPr>
          <w:rFonts w:ascii="Calibri" w:hAnsi="Calibri" w:cs="Calibri"/>
          <w:color w:val="auto"/>
          <w:sz w:val="22"/>
          <w:szCs w:val="22"/>
        </w:rPr>
        <w:t>:</w:t>
      </w:r>
      <w:r w:rsidRPr="008D5425">
        <w:rPr>
          <w:rFonts w:ascii="Calibri" w:hAnsi="Calibri" w:cs="Calibri"/>
          <w:color w:val="auto"/>
          <w:sz w:val="22"/>
          <w:szCs w:val="22"/>
        </w:rPr>
        <w:t xml:space="preserve"> </w:t>
      </w:r>
    </w:p>
    <w:p w14:paraId="4BC0A9C6" w14:textId="77777777" w:rsidR="008D5425" w:rsidRPr="008D5425" w:rsidRDefault="008D5425" w:rsidP="008D5425">
      <w:pPr>
        <w:pStyle w:val="Default"/>
        <w:numPr>
          <w:ilvl w:val="0"/>
          <w:numId w:val="15"/>
        </w:numPr>
        <w:spacing w:after="36"/>
        <w:ind w:left="720" w:hanging="360"/>
        <w:rPr>
          <w:rFonts w:ascii="Calibri" w:hAnsi="Calibri" w:cs="Calibri"/>
          <w:color w:val="auto"/>
          <w:sz w:val="22"/>
          <w:szCs w:val="22"/>
        </w:rPr>
      </w:pPr>
      <w:r w:rsidRPr="008D5425">
        <w:rPr>
          <w:rFonts w:ascii="Calibri" w:hAnsi="Calibri" w:cs="Calibri"/>
          <w:color w:val="auto"/>
          <w:sz w:val="22"/>
          <w:szCs w:val="22"/>
        </w:rPr>
        <w:lastRenderedPageBreak/>
        <w:t xml:space="preserve">communications exercise </w:t>
      </w:r>
    </w:p>
    <w:p w14:paraId="393DFE2D" w14:textId="7DBE0164" w:rsidR="008D5425" w:rsidRPr="008D5425" w:rsidRDefault="008D5425" w:rsidP="008D5425">
      <w:pPr>
        <w:pStyle w:val="Default"/>
        <w:numPr>
          <w:ilvl w:val="0"/>
          <w:numId w:val="15"/>
        </w:numPr>
        <w:spacing w:after="36"/>
        <w:ind w:left="720" w:hanging="360"/>
        <w:rPr>
          <w:rFonts w:ascii="Calibri" w:hAnsi="Calibri" w:cs="Calibri"/>
          <w:color w:val="auto"/>
          <w:sz w:val="22"/>
          <w:szCs w:val="22"/>
        </w:rPr>
      </w:pPr>
      <w:r w:rsidRPr="008D5425">
        <w:rPr>
          <w:rFonts w:ascii="Calibri" w:hAnsi="Calibri" w:cs="Calibri"/>
          <w:color w:val="auto"/>
          <w:sz w:val="22"/>
          <w:szCs w:val="22"/>
        </w:rPr>
        <w:t>table top exercise</w:t>
      </w:r>
      <w:r>
        <w:rPr>
          <w:rFonts w:ascii="Calibri" w:hAnsi="Calibri" w:cs="Calibri"/>
          <w:color w:val="auto"/>
          <w:sz w:val="22"/>
          <w:szCs w:val="22"/>
        </w:rPr>
        <w:t>.</w:t>
      </w:r>
      <w:r w:rsidRPr="008D5425">
        <w:rPr>
          <w:rFonts w:ascii="Calibri" w:hAnsi="Calibri" w:cs="Calibri"/>
          <w:color w:val="auto"/>
          <w:sz w:val="22"/>
          <w:szCs w:val="22"/>
        </w:rPr>
        <w:t xml:space="preserve"> </w:t>
      </w:r>
    </w:p>
    <w:p w14:paraId="1A4CD7BF" w14:textId="77777777" w:rsidR="008D5425" w:rsidRPr="008D5425" w:rsidRDefault="008D5425" w:rsidP="008D5425">
      <w:pPr>
        <w:pStyle w:val="Default"/>
        <w:spacing w:after="36"/>
        <w:rPr>
          <w:rFonts w:ascii="Calibri" w:hAnsi="Calibri" w:cs="Calibri"/>
          <w:color w:val="auto"/>
          <w:sz w:val="22"/>
          <w:szCs w:val="22"/>
        </w:rPr>
      </w:pPr>
    </w:p>
    <w:p w14:paraId="10FD743C" w14:textId="77777777" w:rsidR="008D5425" w:rsidRPr="008D5425" w:rsidRDefault="008D5425" w:rsidP="008D5425">
      <w:pPr>
        <w:pStyle w:val="Default"/>
        <w:spacing w:after="36"/>
        <w:rPr>
          <w:rFonts w:ascii="Calibri" w:hAnsi="Calibri" w:cs="Calibri"/>
          <w:color w:val="auto"/>
          <w:sz w:val="22"/>
          <w:szCs w:val="22"/>
        </w:rPr>
      </w:pPr>
    </w:p>
    <w:p w14:paraId="6660DDF6"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4.6 Response </w:t>
      </w:r>
      <w:r w:rsidRPr="008D5425">
        <w:rPr>
          <w:rFonts w:ascii="Calibri" w:hAnsi="Calibri" w:cs="Calibri"/>
          <w:b/>
          <w:bCs/>
          <w:color w:val="auto"/>
          <w:sz w:val="22"/>
          <w:szCs w:val="22"/>
        </w:rPr>
        <w:br/>
      </w:r>
    </w:p>
    <w:p w14:paraId="2D30211A"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The Accountable Officer will liaise with practices, Castleman Staff, NHSE, the CCG / ICS, partners and will where </w:t>
      </w:r>
      <w:proofErr w:type="gramStart"/>
      <w:r w:rsidRPr="008D5425">
        <w:rPr>
          <w:rFonts w:ascii="Calibri" w:hAnsi="Calibri" w:cs="Calibri"/>
          <w:color w:val="auto"/>
          <w:sz w:val="22"/>
          <w:szCs w:val="22"/>
        </w:rPr>
        <w:t>necessary</w:t>
      </w:r>
      <w:proofErr w:type="gramEnd"/>
      <w:r w:rsidRPr="008D5425">
        <w:rPr>
          <w:rFonts w:ascii="Calibri" w:hAnsi="Calibri" w:cs="Calibri"/>
          <w:color w:val="auto"/>
          <w:sz w:val="22"/>
          <w:szCs w:val="22"/>
        </w:rPr>
        <w:t xml:space="preserve"> submit situation reports (</w:t>
      </w:r>
      <w:proofErr w:type="spellStart"/>
      <w:r w:rsidRPr="008D5425">
        <w:rPr>
          <w:rFonts w:ascii="Calibri" w:hAnsi="Calibri" w:cs="Calibri"/>
          <w:color w:val="auto"/>
          <w:sz w:val="22"/>
          <w:szCs w:val="22"/>
        </w:rPr>
        <w:t>SitReps</w:t>
      </w:r>
      <w:proofErr w:type="spellEnd"/>
      <w:r w:rsidRPr="008D5425">
        <w:rPr>
          <w:rFonts w:ascii="Calibri" w:hAnsi="Calibri" w:cs="Calibri"/>
          <w:color w:val="auto"/>
          <w:sz w:val="22"/>
          <w:szCs w:val="22"/>
        </w:rPr>
        <w:t xml:space="preserve">) and briefings. These arrangements will also include an alternative ICC, should the primary location(s) be affected by the incident itself or be unavailable at the time of response. </w:t>
      </w:r>
    </w:p>
    <w:p w14:paraId="2A72AA27"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0BF66D7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4.7 Warning and informing </w:t>
      </w:r>
      <w:r w:rsidRPr="008D5425">
        <w:rPr>
          <w:rFonts w:ascii="Calibri" w:hAnsi="Calibri" w:cs="Calibri"/>
          <w:b/>
          <w:bCs/>
          <w:color w:val="auto"/>
          <w:sz w:val="22"/>
          <w:szCs w:val="22"/>
        </w:rPr>
        <w:br/>
      </w:r>
    </w:p>
    <w:p w14:paraId="07D32DA7"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Tested processes will be put in place for communicating with partners and stakeholders, and warning and informing public and staff when responding to major incidents, critical incidents and business continuity incidents. </w:t>
      </w:r>
    </w:p>
    <w:p w14:paraId="4B8B1FF5" w14:textId="77777777" w:rsidR="008D5425" w:rsidRPr="008D5425" w:rsidRDefault="008D5425" w:rsidP="008D5425">
      <w:pPr>
        <w:pStyle w:val="Default"/>
        <w:rPr>
          <w:rFonts w:ascii="Calibri" w:hAnsi="Calibri" w:cs="Calibri"/>
          <w:color w:val="auto"/>
          <w:sz w:val="22"/>
          <w:szCs w:val="22"/>
        </w:rPr>
      </w:pPr>
    </w:p>
    <w:p w14:paraId="3355CE00" w14:textId="77777777" w:rsidR="008D5425" w:rsidRPr="008D5425" w:rsidRDefault="008D5425" w:rsidP="008D5425">
      <w:pPr>
        <w:pStyle w:val="Default"/>
        <w:rPr>
          <w:rFonts w:ascii="Calibri" w:hAnsi="Calibri" w:cs="Calibri"/>
          <w:color w:val="auto"/>
          <w:sz w:val="22"/>
          <w:szCs w:val="22"/>
        </w:rPr>
      </w:pPr>
    </w:p>
    <w:p w14:paraId="7DCCA139"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4.8 Cooperation </w:t>
      </w:r>
      <w:r w:rsidRPr="008D5425">
        <w:rPr>
          <w:rFonts w:ascii="Calibri" w:hAnsi="Calibri" w:cs="Calibri"/>
          <w:b/>
          <w:bCs/>
          <w:color w:val="auto"/>
          <w:sz w:val="22"/>
          <w:szCs w:val="22"/>
        </w:rPr>
        <w:br/>
      </w:r>
    </w:p>
    <w:p w14:paraId="2E5215FF"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Arrangements will be in place to share appropriate information with stakeholders. This includes participation in Local Health Resilience Partnerships (LHRPs) to demonstrate engagement and co-operation with other responders. </w:t>
      </w:r>
    </w:p>
    <w:p w14:paraId="1E22AF15" w14:textId="77777777" w:rsidR="008D5425" w:rsidRPr="008D5425" w:rsidRDefault="008D5425" w:rsidP="008D5425">
      <w:pPr>
        <w:pStyle w:val="Default"/>
        <w:rPr>
          <w:rFonts w:ascii="Calibri" w:hAnsi="Calibri" w:cs="Calibri"/>
          <w:color w:val="auto"/>
          <w:sz w:val="22"/>
          <w:szCs w:val="22"/>
        </w:rPr>
      </w:pPr>
    </w:p>
    <w:p w14:paraId="33A36B22"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The Castleman communications team will be instrumental in this process as well as, if necessary, the CCG’s/ICS’s communications team and practice media systems.  </w:t>
      </w:r>
    </w:p>
    <w:p w14:paraId="1F51BB2A"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br/>
      </w:r>
    </w:p>
    <w:p w14:paraId="1D85FC7F"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4.9 Business continuity</w:t>
      </w:r>
      <w:r w:rsidRPr="008D5425">
        <w:rPr>
          <w:rFonts w:ascii="Calibri" w:hAnsi="Calibri" w:cs="Calibri"/>
          <w:b/>
          <w:bCs/>
          <w:color w:val="auto"/>
          <w:sz w:val="22"/>
          <w:szCs w:val="22"/>
        </w:rPr>
        <w:br/>
        <w:t xml:space="preserve"> </w:t>
      </w:r>
    </w:p>
    <w:p w14:paraId="38345D7E"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Castleman Healthcare Ltd has an up to date business continuity plan in place as do all member practices which set out the maintenance of critical activities when faced with disruption for any Castleman business activity whether this be outside or within any member practice. These Continuity plans are to current nationally recognised business continuity standards. </w:t>
      </w:r>
    </w:p>
    <w:p w14:paraId="4BF37DF2"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color w:val="auto"/>
          <w:sz w:val="22"/>
          <w:szCs w:val="22"/>
        </w:rPr>
        <w:t xml:space="preserve"> </w:t>
      </w:r>
    </w:p>
    <w:p w14:paraId="57337837" w14:textId="77777777" w:rsidR="008D5425" w:rsidRPr="008D5425" w:rsidRDefault="008D5425" w:rsidP="008D5425">
      <w:pPr>
        <w:pStyle w:val="Default"/>
        <w:rPr>
          <w:rFonts w:ascii="Calibri" w:hAnsi="Calibri" w:cs="Calibri"/>
          <w:color w:val="auto"/>
          <w:sz w:val="22"/>
          <w:szCs w:val="22"/>
        </w:rPr>
      </w:pPr>
    </w:p>
    <w:p w14:paraId="6C97C4DF" w14:textId="77777777" w:rsidR="008D5425" w:rsidRPr="008D5425" w:rsidRDefault="008D5425" w:rsidP="008D5425">
      <w:pPr>
        <w:pStyle w:val="Default"/>
        <w:rPr>
          <w:rFonts w:ascii="Calibri" w:hAnsi="Calibri" w:cs="Calibri"/>
          <w:color w:val="auto"/>
          <w:sz w:val="22"/>
          <w:szCs w:val="22"/>
        </w:rPr>
      </w:pPr>
      <w:r w:rsidRPr="008D5425">
        <w:rPr>
          <w:rFonts w:ascii="Calibri" w:hAnsi="Calibri" w:cs="Calibri"/>
          <w:b/>
          <w:bCs/>
          <w:color w:val="099BDD" w:themeColor="text2"/>
          <w:sz w:val="22"/>
          <w:szCs w:val="22"/>
        </w:rPr>
        <w:t xml:space="preserve">5. Reviews and updates </w:t>
      </w:r>
      <w:r w:rsidRPr="008D5425">
        <w:rPr>
          <w:rFonts w:ascii="Calibri" w:hAnsi="Calibri" w:cs="Calibri"/>
          <w:b/>
          <w:bCs/>
          <w:color w:val="auto"/>
          <w:sz w:val="22"/>
          <w:szCs w:val="22"/>
        </w:rPr>
        <w:br/>
      </w:r>
    </w:p>
    <w:p w14:paraId="156898A0" w14:textId="77777777" w:rsidR="008D5425" w:rsidRPr="008D5425" w:rsidRDefault="008D5425" w:rsidP="008D5425">
      <w:pPr>
        <w:pStyle w:val="Default"/>
        <w:rPr>
          <w:rFonts w:ascii="Calibri" w:hAnsi="Calibri" w:cs="Calibri"/>
          <w:sz w:val="22"/>
          <w:szCs w:val="22"/>
        </w:rPr>
      </w:pPr>
      <w:r w:rsidRPr="008D5425">
        <w:rPr>
          <w:rFonts w:ascii="Calibri" w:hAnsi="Calibri" w:cs="Calibri"/>
          <w:color w:val="auto"/>
          <w:sz w:val="22"/>
          <w:szCs w:val="22"/>
        </w:rPr>
        <w:t xml:space="preserve">The NHS Core Standards for EPRR are subject to an annual review and Castleman Healthcare Ltd will ensure that this policy reflects the most up to day EPRR standard. </w:t>
      </w:r>
    </w:p>
    <w:sectPr w:rsidR="008D5425" w:rsidRPr="008D5425" w:rsidSect="008B7F4D">
      <w:headerReference w:type="even" r:id="rId10"/>
      <w:headerReference w:type="default" r:id="rId11"/>
      <w:footerReference w:type="even" r:id="rId12"/>
      <w:footerReference w:type="default" r:id="rId13"/>
      <w:headerReference w:type="first" r:id="rId14"/>
      <w:footerReference w:type="first" r:id="rId15"/>
      <w:pgSz w:w="12240" w:h="15840"/>
      <w:pgMar w:top="184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F293" w14:textId="77777777" w:rsidR="0006469A" w:rsidRDefault="0006469A">
      <w:pPr>
        <w:spacing w:after="0" w:line="240" w:lineRule="auto"/>
      </w:pPr>
      <w:r>
        <w:separator/>
      </w:r>
    </w:p>
  </w:endnote>
  <w:endnote w:type="continuationSeparator" w:id="0">
    <w:p w14:paraId="407A8D60" w14:textId="77777777" w:rsidR="0006469A" w:rsidRDefault="0006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Corbe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EC2" w14:textId="77777777" w:rsidR="00125CB5" w:rsidRDefault="00125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721858E4" w:rsidR="00B440A0" w:rsidRPr="00B617BA" w:rsidRDefault="008D5425" w:rsidP="00A50DEB">
            <w:pPr>
              <w:pStyle w:val="Footer"/>
              <w:jc w:val="center"/>
            </w:pPr>
            <w:r>
              <w:t xml:space="preserve">Accountable Emergency Officer and Response Policy </w:t>
            </w:r>
            <w:r w:rsidR="00125CB5">
              <w:t>Sep 23</w:t>
            </w:r>
            <w:r>
              <w:t xml:space="preserve"> </w:t>
            </w:r>
            <w:r w:rsidR="00500DE6">
              <w:t xml:space="preserve">- Castleman Healthcare Ltd </w:t>
            </w:r>
            <w:r w:rsidR="00B440A0">
              <w:t xml:space="preserve">- Page </w:t>
            </w:r>
            <w:r w:rsidR="00B440A0">
              <w:rPr>
                <w:b/>
                <w:bCs/>
                <w:sz w:val="24"/>
                <w:szCs w:val="24"/>
              </w:rPr>
              <w:fldChar w:fldCharType="begin"/>
            </w:r>
            <w:r w:rsidR="00B440A0">
              <w:rPr>
                <w:b/>
                <w:bCs/>
              </w:rPr>
              <w:instrText xml:space="preserve"> PAGE </w:instrText>
            </w:r>
            <w:r w:rsidR="00B440A0">
              <w:rPr>
                <w:b/>
                <w:bCs/>
                <w:sz w:val="24"/>
                <w:szCs w:val="24"/>
              </w:rPr>
              <w:fldChar w:fldCharType="separate"/>
            </w:r>
            <w:r w:rsidR="0067306F">
              <w:rPr>
                <w:b/>
                <w:bCs/>
                <w:noProof/>
              </w:rPr>
              <w:t>5</w:t>
            </w:r>
            <w:r w:rsidR="00B440A0">
              <w:rPr>
                <w:b/>
                <w:bCs/>
                <w:sz w:val="24"/>
                <w:szCs w:val="24"/>
              </w:rPr>
              <w:fldChar w:fldCharType="end"/>
            </w:r>
            <w:r w:rsidR="00B440A0">
              <w:t xml:space="preserve"> of </w:t>
            </w:r>
            <w:r>
              <w:t>4</w:t>
            </w:r>
          </w:p>
        </w:sdtContent>
      </w:sdt>
    </w:sdtContent>
  </w:sdt>
  <w:p w14:paraId="34E15098" w14:textId="77777777" w:rsidR="00B440A0" w:rsidRDefault="00B4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43E3" w14:textId="77777777" w:rsidR="00125CB5" w:rsidRDefault="0012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6D2F" w14:textId="77777777" w:rsidR="0006469A" w:rsidRDefault="0006469A">
      <w:pPr>
        <w:spacing w:after="0" w:line="240" w:lineRule="auto"/>
      </w:pPr>
      <w:r>
        <w:separator/>
      </w:r>
    </w:p>
  </w:footnote>
  <w:footnote w:type="continuationSeparator" w:id="0">
    <w:p w14:paraId="05B554FF" w14:textId="77777777" w:rsidR="0006469A" w:rsidRDefault="0006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321D" w14:textId="77777777" w:rsidR="00125CB5" w:rsidRDefault="00125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AD4" w14:textId="03358B57" w:rsidR="006E23E1" w:rsidRDefault="006E23E1" w:rsidP="006E23E1">
    <w:pPr>
      <w:pStyle w:val="Header"/>
      <w:jc w:val="right"/>
    </w:pPr>
    <w:r>
      <w:rPr>
        <w:noProof/>
      </w:rPr>
      <w:drawing>
        <wp:inline distT="0" distB="0" distL="0" distR="0" wp14:anchorId="382F3304" wp14:editId="05C4F2F5">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57F2" w14:textId="77777777" w:rsidR="00125CB5" w:rsidRDefault="0012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F5"/>
    <w:multiLevelType w:val="hybridMultilevel"/>
    <w:tmpl w:val="4FB06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03DF9"/>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2394"/>
    <w:multiLevelType w:val="hybridMultilevel"/>
    <w:tmpl w:val="2908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2CF"/>
    <w:multiLevelType w:val="hybridMultilevel"/>
    <w:tmpl w:val="1B36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7280"/>
    <w:multiLevelType w:val="hybridMultilevel"/>
    <w:tmpl w:val="C8A0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36F9"/>
    <w:multiLevelType w:val="hybridMultilevel"/>
    <w:tmpl w:val="4D7043AE"/>
    <w:lvl w:ilvl="0" w:tplc="EC2E509C">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DCDF2"/>
    <w:multiLevelType w:val="hybridMultilevel"/>
    <w:tmpl w:val="82089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CB1EAA"/>
    <w:multiLevelType w:val="hybridMultilevel"/>
    <w:tmpl w:val="0CA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4EAD"/>
    <w:multiLevelType w:val="hybridMultilevel"/>
    <w:tmpl w:val="05C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F6EAF"/>
    <w:multiLevelType w:val="hybridMultilevel"/>
    <w:tmpl w:val="192C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A238D"/>
    <w:multiLevelType w:val="hybridMultilevel"/>
    <w:tmpl w:val="253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44B3"/>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7705F9"/>
    <w:multiLevelType w:val="hybridMultilevel"/>
    <w:tmpl w:val="98E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A455E"/>
    <w:multiLevelType w:val="hybridMultilevel"/>
    <w:tmpl w:val="DE2E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517928">
    <w:abstractNumId w:val="14"/>
  </w:num>
  <w:num w:numId="2" w16cid:durableId="1216047636">
    <w:abstractNumId w:val="10"/>
  </w:num>
  <w:num w:numId="3" w16cid:durableId="806094634">
    <w:abstractNumId w:val="3"/>
  </w:num>
  <w:num w:numId="4" w16cid:durableId="1669358629">
    <w:abstractNumId w:val="4"/>
  </w:num>
  <w:num w:numId="5" w16cid:durableId="860777354">
    <w:abstractNumId w:val="2"/>
  </w:num>
  <w:num w:numId="6" w16cid:durableId="1426422323">
    <w:abstractNumId w:val="12"/>
  </w:num>
  <w:num w:numId="7" w16cid:durableId="358746366">
    <w:abstractNumId w:val="9"/>
  </w:num>
  <w:num w:numId="8" w16cid:durableId="475412311">
    <w:abstractNumId w:val="7"/>
  </w:num>
  <w:num w:numId="9" w16cid:durableId="25958809">
    <w:abstractNumId w:val="1"/>
  </w:num>
  <w:num w:numId="10" w16cid:durableId="1232691971">
    <w:abstractNumId w:val="11"/>
  </w:num>
  <w:num w:numId="11" w16cid:durableId="1839925070">
    <w:abstractNumId w:val="13"/>
  </w:num>
  <w:num w:numId="12" w16cid:durableId="1478574052">
    <w:abstractNumId w:val="8"/>
  </w:num>
  <w:num w:numId="13" w16cid:durableId="114521740">
    <w:abstractNumId w:val="0"/>
  </w:num>
  <w:num w:numId="14" w16cid:durableId="1939556010">
    <w:abstractNumId w:val="5"/>
  </w:num>
  <w:num w:numId="15" w16cid:durableId="7231287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3A0A"/>
    <w:rsid w:val="0006469A"/>
    <w:rsid w:val="000933AC"/>
    <w:rsid w:val="000D4C5E"/>
    <w:rsid w:val="000E1936"/>
    <w:rsid w:val="001007A9"/>
    <w:rsid w:val="00123FFA"/>
    <w:rsid w:val="00125CB5"/>
    <w:rsid w:val="00146F1D"/>
    <w:rsid w:val="0018331B"/>
    <w:rsid w:val="00196599"/>
    <w:rsid w:val="001D7BDE"/>
    <w:rsid w:val="001F2D29"/>
    <w:rsid w:val="00223CAE"/>
    <w:rsid w:val="00262051"/>
    <w:rsid w:val="0027094C"/>
    <w:rsid w:val="002832F6"/>
    <w:rsid w:val="002B0BF1"/>
    <w:rsid w:val="00323ADA"/>
    <w:rsid w:val="003A3BC2"/>
    <w:rsid w:val="003F332D"/>
    <w:rsid w:val="00426EF5"/>
    <w:rsid w:val="004379FC"/>
    <w:rsid w:val="00437BF3"/>
    <w:rsid w:val="00454A37"/>
    <w:rsid w:val="004607CB"/>
    <w:rsid w:val="0048797D"/>
    <w:rsid w:val="004931D7"/>
    <w:rsid w:val="004A7773"/>
    <w:rsid w:val="004E6C39"/>
    <w:rsid w:val="00500DE6"/>
    <w:rsid w:val="005079B5"/>
    <w:rsid w:val="005547BD"/>
    <w:rsid w:val="005D736B"/>
    <w:rsid w:val="005F577C"/>
    <w:rsid w:val="00612266"/>
    <w:rsid w:val="0062391B"/>
    <w:rsid w:val="00646388"/>
    <w:rsid w:val="0067306F"/>
    <w:rsid w:val="00681880"/>
    <w:rsid w:val="006B443C"/>
    <w:rsid w:val="006C0EA0"/>
    <w:rsid w:val="006D46A6"/>
    <w:rsid w:val="006E23E1"/>
    <w:rsid w:val="006E29D4"/>
    <w:rsid w:val="00712167"/>
    <w:rsid w:val="007145D4"/>
    <w:rsid w:val="00783B2B"/>
    <w:rsid w:val="007B586B"/>
    <w:rsid w:val="007D20E7"/>
    <w:rsid w:val="007F0667"/>
    <w:rsid w:val="00822F71"/>
    <w:rsid w:val="00876828"/>
    <w:rsid w:val="0088497E"/>
    <w:rsid w:val="008B3BE2"/>
    <w:rsid w:val="008B7F4D"/>
    <w:rsid w:val="008C73BB"/>
    <w:rsid w:val="008D5425"/>
    <w:rsid w:val="008F6339"/>
    <w:rsid w:val="00914CC8"/>
    <w:rsid w:val="00930EBA"/>
    <w:rsid w:val="009D0FE1"/>
    <w:rsid w:val="009D14A5"/>
    <w:rsid w:val="009D47F1"/>
    <w:rsid w:val="00A40178"/>
    <w:rsid w:val="00A50DEB"/>
    <w:rsid w:val="00AA07E2"/>
    <w:rsid w:val="00AC41D4"/>
    <w:rsid w:val="00AE4193"/>
    <w:rsid w:val="00B118FD"/>
    <w:rsid w:val="00B249C3"/>
    <w:rsid w:val="00B26406"/>
    <w:rsid w:val="00B40119"/>
    <w:rsid w:val="00B440A0"/>
    <w:rsid w:val="00B617BA"/>
    <w:rsid w:val="00B8255D"/>
    <w:rsid w:val="00BC4940"/>
    <w:rsid w:val="00BD03E0"/>
    <w:rsid w:val="00C02105"/>
    <w:rsid w:val="00C15FAF"/>
    <w:rsid w:val="00C2732B"/>
    <w:rsid w:val="00C35105"/>
    <w:rsid w:val="00C612F1"/>
    <w:rsid w:val="00C621B6"/>
    <w:rsid w:val="00C71726"/>
    <w:rsid w:val="00C911DB"/>
    <w:rsid w:val="00CA517B"/>
    <w:rsid w:val="00CB5385"/>
    <w:rsid w:val="00CC1D6D"/>
    <w:rsid w:val="00CE0099"/>
    <w:rsid w:val="00CF30C0"/>
    <w:rsid w:val="00D15A9F"/>
    <w:rsid w:val="00D25C79"/>
    <w:rsid w:val="00D4116C"/>
    <w:rsid w:val="00D53950"/>
    <w:rsid w:val="00D70D20"/>
    <w:rsid w:val="00D7670A"/>
    <w:rsid w:val="00D97424"/>
    <w:rsid w:val="00DA2660"/>
    <w:rsid w:val="00E55293"/>
    <w:rsid w:val="00E91FAF"/>
    <w:rsid w:val="00E928A9"/>
    <w:rsid w:val="00E93D81"/>
    <w:rsid w:val="00EA20E2"/>
    <w:rsid w:val="00EA3F91"/>
    <w:rsid w:val="00EB0CEF"/>
    <w:rsid w:val="00EB3E9D"/>
    <w:rsid w:val="00EC03D2"/>
    <w:rsid w:val="00EC534F"/>
    <w:rsid w:val="00EF2CDD"/>
    <w:rsid w:val="00EF5B36"/>
    <w:rsid w:val="00F10A9B"/>
    <w:rsid w:val="00F434EF"/>
    <w:rsid w:val="00F76337"/>
    <w:rsid w:val="00F973B0"/>
    <w:rsid w:val="00FD7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F4267E0-B7F4-46DB-A27B-0358BA1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2CDD"/>
    <w:rPr>
      <w:sz w:val="18"/>
      <w:szCs w:val="18"/>
    </w:rPr>
  </w:style>
  <w:style w:type="paragraph" w:styleId="CommentText">
    <w:name w:val="annotation text"/>
    <w:basedOn w:val="Normal"/>
    <w:link w:val="CommentTextChar"/>
    <w:uiPriority w:val="99"/>
    <w:unhideWhenUsed/>
    <w:rsid w:val="00EF2CDD"/>
    <w:pPr>
      <w:spacing w:line="240" w:lineRule="auto"/>
    </w:pPr>
    <w:rPr>
      <w:sz w:val="24"/>
      <w:szCs w:val="24"/>
    </w:rPr>
  </w:style>
  <w:style w:type="character" w:customStyle="1" w:styleId="CommentTextChar">
    <w:name w:val="Comment Text Char"/>
    <w:basedOn w:val="DefaultParagraphFont"/>
    <w:link w:val="CommentText"/>
    <w:uiPriority w:val="99"/>
    <w:rsid w:val="00EF2CDD"/>
    <w:rPr>
      <w:sz w:val="24"/>
      <w:szCs w:val="24"/>
    </w:rPr>
  </w:style>
  <w:style w:type="paragraph" w:styleId="CommentSubject">
    <w:name w:val="annotation subject"/>
    <w:basedOn w:val="CommentText"/>
    <w:next w:val="CommentText"/>
    <w:link w:val="CommentSubjectChar"/>
    <w:uiPriority w:val="99"/>
    <w:semiHidden/>
    <w:unhideWhenUsed/>
    <w:rsid w:val="00EF2CDD"/>
    <w:rPr>
      <w:b/>
      <w:bCs/>
      <w:sz w:val="20"/>
      <w:szCs w:val="20"/>
    </w:rPr>
  </w:style>
  <w:style w:type="character" w:customStyle="1" w:styleId="CommentSubjectChar">
    <w:name w:val="Comment Subject Char"/>
    <w:basedOn w:val="CommentTextChar"/>
    <w:link w:val="CommentSubject"/>
    <w:uiPriority w:val="99"/>
    <w:semiHidden/>
    <w:rsid w:val="00EF2CDD"/>
    <w:rPr>
      <w:b/>
      <w:bCs/>
      <w:sz w:val="20"/>
      <w:szCs w:val="20"/>
    </w:rPr>
  </w:style>
  <w:style w:type="character" w:styleId="UnresolvedMention">
    <w:name w:val="Unresolved Mention"/>
    <w:basedOn w:val="DefaultParagraphFont"/>
    <w:uiPriority w:val="99"/>
    <w:semiHidden/>
    <w:unhideWhenUsed/>
    <w:rsid w:val="00C35105"/>
    <w:rPr>
      <w:color w:val="605E5C"/>
      <w:shd w:val="clear" w:color="auto" w:fill="E1DFDD"/>
    </w:rPr>
  </w:style>
  <w:style w:type="character" w:styleId="FollowedHyperlink">
    <w:name w:val="FollowedHyperlink"/>
    <w:basedOn w:val="DefaultParagraphFont"/>
    <w:uiPriority w:val="99"/>
    <w:semiHidden/>
    <w:unhideWhenUsed/>
    <w:rsid w:val="00C35105"/>
    <w:rPr>
      <w:color w:val="6C606A" w:themeColor="followedHyperlink"/>
      <w:u w:val="single"/>
    </w:rPr>
  </w:style>
  <w:style w:type="paragraph" w:styleId="NormalWeb">
    <w:name w:val="Normal (Web)"/>
    <w:basedOn w:val="Normal"/>
    <w:uiPriority w:val="99"/>
    <w:semiHidden/>
    <w:unhideWhenUsed/>
    <w:rsid w:val="00C2732B"/>
    <w:pPr>
      <w:spacing w:before="0" w:after="0" w:line="240" w:lineRule="auto"/>
    </w:pPr>
    <w:rPr>
      <w:rFonts w:ascii="Calibri" w:eastAsiaTheme="minorHAnsi" w:hAnsi="Calibri" w:cs="Calibri"/>
      <w:lang w:val="en-GB" w:eastAsia="en-GB"/>
    </w:rPr>
  </w:style>
  <w:style w:type="character" w:customStyle="1" w:styleId="contentpasted0">
    <w:name w:val="contentpasted0"/>
    <w:basedOn w:val="DefaultParagraphFont"/>
    <w:rsid w:val="00C2732B"/>
  </w:style>
  <w:style w:type="paragraph" w:styleId="Revision">
    <w:name w:val="Revision"/>
    <w:hidden/>
    <w:uiPriority w:val="99"/>
    <w:semiHidden/>
    <w:rsid w:val="00B40119"/>
    <w:pPr>
      <w:spacing w:before="0" w:after="0" w:line="240" w:lineRule="auto"/>
    </w:pPr>
  </w:style>
  <w:style w:type="paragraph" w:customStyle="1" w:styleId="Default">
    <w:name w:val="Default"/>
    <w:rsid w:val="008D5425"/>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699725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mes.leyland@dorsetgp.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29B572-3C1F-4C3F-B05E-A8B6D5228E17}">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16</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9</cp:revision>
  <dcterms:created xsi:type="dcterms:W3CDTF">2023-09-15T06:41:00Z</dcterms:created>
  <dcterms:modified xsi:type="dcterms:W3CDTF">2023-09-28T07:08:00Z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